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BF7" w:rsidRPr="007D6BF7" w:rsidRDefault="007D6BF7" w:rsidP="00CE3EAD">
      <w:pPr>
        <w:jc w:val="center"/>
        <w:rPr>
          <w:sz w:val="28"/>
          <w:szCs w:val="28"/>
        </w:rPr>
      </w:pPr>
      <w:r w:rsidRPr="007D6BF7">
        <w:rPr>
          <w:rFonts w:hint="eastAsia"/>
          <w:sz w:val="28"/>
          <w:szCs w:val="28"/>
        </w:rPr>
        <w:t>中共中央办公厅、国务院办公厅印发《关于实行以增加知识价值为导向分配政策的若干意见》</w:t>
      </w:r>
    </w:p>
    <w:p w:rsidR="007D6BF7" w:rsidRPr="007D6BF7" w:rsidRDefault="007D6BF7" w:rsidP="007D6BF7">
      <w:pPr>
        <w:jc w:val="center"/>
        <w:rPr>
          <w:sz w:val="28"/>
          <w:szCs w:val="28"/>
        </w:rPr>
      </w:pPr>
      <w:proofErr w:type="gramStart"/>
      <w:r w:rsidRPr="007D6BF7">
        <w:rPr>
          <w:rFonts w:hint="eastAsia"/>
          <w:sz w:val="28"/>
          <w:szCs w:val="28"/>
        </w:rPr>
        <w:t>厅字〔</w:t>
      </w:r>
      <w:r w:rsidRPr="007D6BF7">
        <w:rPr>
          <w:rFonts w:hint="eastAsia"/>
          <w:sz w:val="28"/>
          <w:szCs w:val="28"/>
        </w:rPr>
        <w:t>2016</w:t>
      </w:r>
      <w:r w:rsidRPr="007D6BF7">
        <w:rPr>
          <w:rFonts w:hint="eastAsia"/>
          <w:sz w:val="28"/>
          <w:szCs w:val="28"/>
        </w:rPr>
        <w:t>〕</w:t>
      </w:r>
      <w:proofErr w:type="gramEnd"/>
      <w:r w:rsidRPr="007D6BF7">
        <w:rPr>
          <w:rFonts w:hint="eastAsia"/>
          <w:sz w:val="28"/>
          <w:szCs w:val="28"/>
        </w:rPr>
        <w:t>35</w:t>
      </w:r>
      <w:r w:rsidRPr="007D6BF7">
        <w:rPr>
          <w:rFonts w:hint="eastAsia"/>
          <w:sz w:val="28"/>
          <w:szCs w:val="28"/>
        </w:rPr>
        <w:t>号</w:t>
      </w:r>
    </w:p>
    <w:p w:rsidR="007D6BF7" w:rsidRPr="007D6BF7" w:rsidRDefault="007D6BF7" w:rsidP="007D6BF7">
      <w:pPr>
        <w:rPr>
          <w:sz w:val="28"/>
          <w:szCs w:val="28"/>
        </w:rPr>
      </w:pPr>
    </w:p>
    <w:p w:rsidR="007D6BF7" w:rsidRPr="007D6BF7" w:rsidRDefault="007D6BF7" w:rsidP="007D6BF7">
      <w:pPr>
        <w:rPr>
          <w:sz w:val="28"/>
          <w:szCs w:val="28"/>
        </w:rPr>
      </w:pPr>
      <w:r w:rsidRPr="007D6BF7">
        <w:rPr>
          <w:sz w:val="28"/>
          <w:szCs w:val="28"/>
        </w:rPr>
        <w:t xml:space="preserve"> </w:t>
      </w:r>
      <w:r>
        <w:rPr>
          <w:rFonts w:hint="eastAsia"/>
          <w:sz w:val="28"/>
          <w:szCs w:val="28"/>
        </w:rPr>
        <w:t xml:space="preserve">    </w:t>
      </w:r>
      <w:r w:rsidRPr="007D6BF7">
        <w:rPr>
          <w:rFonts w:hint="eastAsia"/>
          <w:sz w:val="28"/>
          <w:szCs w:val="28"/>
        </w:rPr>
        <w:t>新华社北京</w:t>
      </w:r>
      <w:r w:rsidRPr="007D6BF7">
        <w:rPr>
          <w:rFonts w:hint="eastAsia"/>
          <w:sz w:val="28"/>
          <w:szCs w:val="28"/>
        </w:rPr>
        <w:t>2016</w:t>
      </w:r>
      <w:r w:rsidRPr="007D6BF7">
        <w:rPr>
          <w:rFonts w:hint="eastAsia"/>
          <w:sz w:val="28"/>
          <w:szCs w:val="28"/>
        </w:rPr>
        <w:t>年</w:t>
      </w:r>
      <w:r w:rsidRPr="007D6BF7">
        <w:rPr>
          <w:rFonts w:hint="eastAsia"/>
          <w:sz w:val="28"/>
          <w:szCs w:val="28"/>
        </w:rPr>
        <w:t>11</w:t>
      </w:r>
      <w:r w:rsidRPr="007D6BF7">
        <w:rPr>
          <w:rFonts w:hint="eastAsia"/>
          <w:sz w:val="28"/>
          <w:szCs w:val="28"/>
        </w:rPr>
        <w:t>月</w:t>
      </w:r>
      <w:r w:rsidRPr="007D6BF7">
        <w:rPr>
          <w:rFonts w:hint="eastAsia"/>
          <w:sz w:val="28"/>
          <w:szCs w:val="28"/>
        </w:rPr>
        <w:t>7</w:t>
      </w:r>
      <w:r w:rsidRPr="007D6BF7">
        <w:rPr>
          <w:rFonts w:hint="eastAsia"/>
          <w:sz w:val="28"/>
          <w:szCs w:val="28"/>
        </w:rPr>
        <w:t>日电</w:t>
      </w:r>
      <w:r w:rsidRPr="007D6BF7">
        <w:rPr>
          <w:rFonts w:hint="eastAsia"/>
          <w:sz w:val="28"/>
          <w:szCs w:val="28"/>
        </w:rPr>
        <w:t xml:space="preserve"> </w:t>
      </w:r>
      <w:r w:rsidRPr="007D6BF7">
        <w:rPr>
          <w:rFonts w:hint="eastAsia"/>
          <w:sz w:val="28"/>
          <w:szCs w:val="28"/>
        </w:rPr>
        <w:t>近日，中共中央办公厅、国务院办公厅印发了《关于实行以增加知识价值为导向分配政策的若干意见》，并发出通知，要求各地区各部门结合实际认真贯彻落实。</w:t>
      </w:r>
    </w:p>
    <w:p w:rsidR="007D6BF7" w:rsidRPr="007D6BF7" w:rsidRDefault="007D6BF7" w:rsidP="007D6BF7">
      <w:pPr>
        <w:rPr>
          <w:sz w:val="28"/>
          <w:szCs w:val="28"/>
        </w:rPr>
      </w:pPr>
      <w:r w:rsidRPr="007D6BF7">
        <w:rPr>
          <w:rFonts w:hint="eastAsia"/>
          <w:sz w:val="28"/>
          <w:szCs w:val="28"/>
        </w:rPr>
        <w:t>《关于实行以增加知识价值为导向分配政策的若干意见》全文如下。</w:t>
      </w:r>
    </w:p>
    <w:p w:rsidR="007D6BF7" w:rsidRPr="007D6BF7" w:rsidRDefault="007D6BF7" w:rsidP="007D6BF7">
      <w:pPr>
        <w:rPr>
          <w:sz w:val="28"/>
          <w:szCs w:val="28"/>
        </w:rPr>
      </w:pPr>
      <w:r w:rsidRPr="007D6BF7">
        <w:rPr>
          <w:rFonts w:hint="eastAsia"/>
          <w:sz w:val="28"/>
          <w:szCs w:val="28"/>
        </w:rPr>
        <w:t>为加快实施创新驱动发展战略，激发科研人员创新创业积极性，在全社会营造尊重劳动、尊重知识、尊重人才、尊重创造的氛围，现就实行以增加知识价值为导向的分配政策提出以下意见。</w:t>
      </w:r>
    </w:p>
    <w:p w:rsidR="007D6BF7" w:rsidRPr="007D6BF7" w:rsidRDefault="007D6BF7" w:rsidP="007D6BF7">
      <w:pPr>
        <w:ind w:firstLineChars="200" w:firstLine="560"/>
        <w:rPr>
          <w:sz w:val="28"/>
          <w:szCs w:val="28"/>
        </w:rPr>
      </w:pPr>
      <w:r w:rsidRPr="007D6BF7">
        <w:rPr>
          <w:rFonts w:hint="eastAsia"/>
          <w:sz w:val="28"/>
          <w:szCs w:val="28"/>
        </w:rPr>
        <w:t>一、总体要求</w:t>
      </w:r>
    </w:p>
    <w:p w:rsidR="007D6BF7" w:rsidRPr="007D6BF7" w:rsidRDefault="007D6BF7" w:rsidP="007D6BF7">
      <w:pPr>
        <w:ind w:firstLineChars="150" w:firstLine="420"/>
        <w:rPr>
          <w:sz w:val="28"/>
          <w:szCs w:val="28"/>
        </w:rPr>
      </w:pPr>
      <w:r w:rsidRPr="007D6BF7">
        <w:rPr>
          <w:rFonts w:hint="eastAsia"/>
          <w:sz w:val="28"/>
          <w:szCs w:val="28"/>
        </w:rPr>
        <w:t>（一）基本思路</w:t>
      </w:r>
    </w:p>
    <w:p w:rsidR="007D6BF7" w:rsidRPr="007D6BF7" w:rsidRDefault="007D6BF7" w:rsidP="007D6BF7">
      <w:pPr>
        <w:ind w:firstLineChars="150" w:firstLine="420"/>
        <w:rPr>
          <w:sz w:val="28"/>
          <w:szCs w:val="28"/>
        </w:rPr>
      </w:pPr>
      <w:r w:rsidRPr="007D6BF7">
        <w:rPr>
          <w:rFonts w:hint="eastAsia"/>
          <w:sz w:val="28"/>
          <w:szCs w:val="28"/>
        </w:rPr>
        <w:t>全面贯彻党的十八大和十八届三中、四中、五中全会以及全国科技创新大会精神，深入学习贯彻习近平总书记系列重要讲话精神，加快实施创新驱动发展战略，实行以增加知识价值为导向的分配政策，充分发挥收入分配政策的激励导向作用，激发广大科研人员的积极性、主动性和创造性，鼓励多出成果、快出成果、出好成果，推动科技成果加快向现实生产力转化。统筹自然科学、哲学社会科学等不同科学门类，统筹基础研究、应用研究、技术开发、成果转化</w:t>
      </w:r>
      <w:proofErr w:type="gramStart"/>
      <w:r w:rsidRPr="007D6BF7">
        <w:rPr>
          <w:rFonts w:hint="eastAsia"/>
          <w:sz w:val="28"/>
          <w:szCs w:val="28"/>
        </w:rPr>
        <w:t>全创新</w:t>
      </w:r>
      <w:proofErr w:type="gramEnd"/>
      <w:r w:rsidRPr="007D6BF7">
        <w:rPr>
          <w:rFonts w:hint="eastAsia"/>
          <w:sz w:val="28"/>
          <w:szCs w:val="28"/>
        </w:rPr>
        <w:t>链条，加强系统设计、分类管理。充分发挥市场机制作用，通过稳定提高基本工资、加大绩效工资分配激励力度、落实科技成果转化奖励等激励</w:t>
      </w:r>
      <w:r w:rsidRPr="007D6BF7">
        <w:rPr>
          <w:rFonts w:hint="eastAsia"/>
          <w:sz w:val="28"/>
          <w:szCs w:val="28"/>
        </w:rPr>
        <w:lastRenderedPageBreak/>
        <w:t>措施，使科研人员收入与岗位职责、工作业绩、实际贡献紧密联系，在全社会形成知识创造价值、价值创造者得到合理回报的良性循环，构建体现增加知识价值的收入分配机制。</w:t>
      </w:r>
    </w:p>
    <w:p w:rsidR="007D6BF7" w:rsidRPr="007D6BF7" w:rsidRDefault="007D6BF7" w:rsidP="007D6BF7">
      <w:pPr>
        <w:ind w:firstLineChars="200" w:firstLine="560"/>
        <w:rPr>
          <w:sz w:val="28"/>
          <w:szCs w:val="28"/>
        </w:rPr>
      </w:pPr>
      <w:r w:rsidRPr="007D6BF7">
        <w:rPr>
          <w:rFonts w:hint="eastAsia"/>
          <w:sz w:val="28"/>
          <w:szCs w:val="28"/>
        </w:rPr>
        <w:t>（二）主要原则</w:t>
      </w:r>
    </w:p>
    <w:p w:rsidR="007D6BF7" w:rsidRPr="007D6BF7" w:rsidRDefault="007D6BF7" w:rsidP="007D6BF7">
      <w:pPr>
        <w:rPr>
          <w:sz w:val="28"/>
          <w:szCs w:val="28"/>
        </w:rPr>
      </w:pPr>
      <w:r w:rsidRPr="007D6BF7">
        <w:rPr>
          <w:rFonts w:hint="eastAsia"/>
          <w:sz w:val="28"/>
          <w:szCs w:val="28"/>
        </w:rPr>
        <w:t>——坚持价值导向。针对我国科研人员实际贡献与收入分配不完全匹配、股权激励等对创新具有长期激励作用的政策缺位、内部分配激励机制不健全等问题，明确分配导向，完善分配机制，使科研人员收入与其创造的科学价值、经济价值、社会价值紧密联系。</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——实行分类施策。根据不同创新主体、不同创新领域和不同创新环节的智力劳动特点，实行有针对性的分配政策，统筹宏观调控和定向施策，探索知识价值实现的有效方式。</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——激励约束并重。把人作为政策激励的出发点和落脚点，强化产权等长期激励，健全中长期考核评价机制，突出业绩贡献。合理调控不同地区、同一地区不同类型单位收入水平差距。</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——精神物质激励结合。采用多种激励方式，在加大物质收入激励的同时，注重发挥精神激励的作用，大力表彰创新业绩突出的科研人员，营造鼓励探索、激励创新的社会氛围。</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二、推动形成体现增加知识价值的收入分配机制</w:t>
      </w:r>
    </w:p>
    <w:p w:rsidR="007D6BF7" w:rsidRPr="007D6BF7" w:rsidRDefault="007D6BF7" w:rsidP="007D6BF7">
      <w:pPr>
        <w:rPr>
          <w:sz w:val="28"/>
          <w:szCs w:val="28"/>
        </w:rPr>
      </w:pPr>
      <w:r w:rsidRPr="007D6BF7">
        <w:rPr>
          <w:rFonts w:hint="eastAsia"/>
          <w:sz w:val="28"/>
          <w:szCs w:val="28"/>
        </w:rPr>
        <w:lastRenderedPageBreak/>
        <w:t>（一）逐步提高科研人员收入水平。在保障基本工资水平正常增长的基础上，逐步提高体现科研人员履行岗位职责、承担政府和社会委托任务等的基础性绩效工资水平，并建立绩效工资稳定增长机制。加大对</w:t>
      </w:r>
      <w:proofErr w:type="gramStart"/>
      <w:r w:rsidRPr="007D6BF7">
        <w:rPr>
          <w:rFonts w:hint="eastAsia"/>
          <w:sz w:val="28"/>
          <w:szCs w:val="28"/>
        </w:rPr>
        <w:t>作出</w:t>
      </w:r>
      <w:proofErr w:type="gramEnd"/>
      <w:r w:rsidRPr="007D6BF7">
        <w:rPr>
          <w:rFonts w:hint="eastAsia"/>
          <w:sz w:val="28"/>
          <w:szCs w:val="28"/>
        </w:rPr>
        <w:t>突出贡献科研人员和创新团队的奖励力度，提高科研人员科技成果转化收益分享比例。强化绩效评价与考核，使收入分配与考核评价结果挂钩。</w:t>
      </w:r>
    </w:p>
    <w:p w:rsidR="007D6BF7" w:rsidRPr="007D6BF7" w:rsidRDefault="007D6BF7" w:rsidP="007D6BF7">
      <w:pPr>
        <w:rPr>
          <w:sz w:val="28"/>
          <w:szCs w:val="28"/>
        </w:rPr>
      </w:pPr>
      <w:r w:rsidRPr="007D6BF7">
        <w:rPr>
          <w:rFonts w:hint="eastAsia"/>
          <w:sz w:val="28"/>
          <w:szCs w:val="28"/>
        </w:rPr>
        <w:t>（二）发挥财政科研项目资金的激励引导作用。对不同功能和资金来源的科研项目实行分类管理，在绩效评价基础上，加大对科研人员的绩效激励力度。完善科研项目资金和成果管理制度，对目标明确的应用型科研项目逐步实行合同制管理。对社会科学研究机构和智库，推行政府购买服务制度。</w:t>
      </w:r>
    </w:p>
    <w:p w:rsidR="007D6BF7" w:rsidRPr="007D6BF7" w:rsidRDefault="007D6BF7" w:rsidP="007D6BF7">
      <w:pPr>
        <w:rPr>
          <w:sz w:val="28"/>
          <w:szCs w:val="28"/>
        </w:rPr>
      </w:pPr>
      <w:r w:rsidRPr="007D6BF7">
        <w:rPr>
          <w:rFonts w:hint="eastAsia"/>
          <w:sz w:val="28"/>
          <w:szCs w:val="28"/>
        </w:rPr>
        <w:t>（三）鼓励科研人员通过科技成果转化获得合理收入。积极探索通过市场配置资源加快科技成果转化、实现知识价值的有效方式。财政资助科研项目所产生的科技成果在实施转化时，应明确项目承担单位和完成人之间的收益分配比例。对于接受企业、其他社会组织委托的横向委托项目，允许项目承担单位和科研人员通过合同约定知识产权使用权和转化收益，探索赋予科研人员科技成果所有权或长期使用权。逐步提高稿费和版税等付酬标准，增加科研人员的成果性收入。</w:t>
      </w:r>
    </w:p>
    <w:p w:rsid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三、扩大科研机构、高校收入分配自主权</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（一）引导科研机构、高校实行体现自身特点的分配办法。赋予科研</w:t>
      </w:r>
      <w:r w:rsidRPr="007D6BF7">
        <w:rPr>
          <w:rFonts w:hint="eastAsia"/>
          <w:sz w:val="28"/>
          <w:szCs w:val="28"/>
        </w:rPr>
        <w:lastRenderedPageBreak/>
        <w:t>机构、高校更大的收入分配自主权，科研机构、高校要履行法人责任，按照职能定位和发展方向，制定以实际贡献为评价标准的科技创新人才收入分配激励办法，突出业绩导向，建立与岗位职责目标相统一的收入分配激励机制，合理调节教学人员、科研人员、实验设计与开发人员、辅助人员和专门从事科技成果转化人员等的收入分配关系。对从事基础性研究、农业和社会公益研究等研发周期较长的人员，收入分配实行分类调节，通过优化工资结构，稳步提高基本工资收入，加大对重大科技创新成果的绩效奖励力度，建立健全后续科技成果转化收益反馈机制，使科研人员能够潜心研究。对从事应用研究和技术开发的人员，主要通过市场机制和科技成果转化业绩实现激励和奖励。对从事哲学社会科学研究的人员，以理论创新、决策咨询支撑和社会影响作为评价基本依据，形成合理的智力劳动补偿激励机制。完善相关管理制度，加大对科研辅助人员的激励力度。科学设置考核周期，合理确定评价时限，避免短期频繁考核，形成长期激励导向。</w:t>
      </w:r>
    </w:p>
    <w:p w:rsidR="007D6BF7" w:rsidRPr="007D6BF7" w:rsidRDefault="007D6BF7" w:rsidP="007D6BF7">
      <w:pPr>
        <w:rPr>
          <w:sz w:val="28"/>
          <w:szCs w:val="28"/>
        </w:rPr>
      </w:pPr>
      <w:r w:rsidRPr="007D6BF7">
        <w:rPr>
          <w:rFonts w:hint="eastAsia"/>
          <w:sz w:val="28"/>
          <w:szCs w:val="28"/>
        </w:rPr>
        <w:t>（二）完善适应高校教学岗位特点的内部激励机制。把教学业绩和成果作为教师职称晋升、收入分配的重要依据。对专职从事教学的人员，适当提高基础性绩效工资在绩效工资中的比重，加大对教学型名师的岗位激励力度。对高校教师开展的教学理论研究、教学方法探索、优质教学资源开发、教学手段创新等，在绩效工资分配中给予倾斜。</w:t>
      </w:r>
    </w:p>
    <w:p w:rsidR="007D6BF7" w:rsidRPr="007D6BF7" w:rsidRDefault="007D6BF7" w:rsidP="007D6BF7">
      <w:pPr>
        <w:rPr>
          <w:sz w:val="28"/>
          <w:szCs w:val="28"/>
        </w:rPr>
      </w:pPr>
      <w:r w:rsidRPr="007D6BF7">
        <w:rPr>
          <w:rFonts w:hint="eastAsia"/>
          <w:sz w:val="28"/>
          <w:szCs w:val="28"/>
        </w:rPr>
        <w:t>（三）落实科研机构、高校在岗位设置、人员聘用、绩效工资分配、项目经费管理等方面自主权。对科研人员实行岗位管理，用人单位根据国家有关规定，结合实际需要，合理确定岗位等级的结构比例，建</w:t>
      </w:r>
      <w:r w:rsidRPr="007D6BF7">
        <w:rPr>
          <w:rFonts w:hint="eastAsia"/>
          <w:sz w:val="28"/>
          <w:szCs w:val="28"/>
        </w:rPr>
        <w:lastRenderedPageBreak/>
        <w:t>立各级专业技术岗位动态调整机制。健全绩效工资管理，科研机构、高校自主决定绩效考核和绩效分配办法。赋予财政科研项目承担单位对间接经费的统筹使用权。合理调节单位内部各类岗位收入差距，除科技成果转化收入外，单位内部收入差距要保持在合理范围。积极解决部分岗位青年科研人员和教师收入待遇低等问题，加强学术梯队建设。</w:t>
      </w:r>
    </w:p>
    <w:p w:rsidR="007D6BF7" w:rsidRPr="007D6BF7" w:rsidRDefault="007D6BF7" w:rsidP="007D6BF7">
      <w:pPr>
        <w:rPr>
          <w:sz w:val="28"/>
          <w:szCs w:val="28"/>
        </w:rPr>
      </w:pPr>
      <w:r w:rsidRPr="007D6BF7">
        <w:rPr>
          <w:rFonts w:hint="eastAsia"/>
          <w:sz w:val="28"/>
          <w:szCs w:val="28"/>
        </w:rPr>
        <w:t>（四）重视科研机构、高校中长期目标考核。结合科研机构、高校分类改革和职责定位，加强对科研机构、高校中长期目标考核，建立与考核评价结果挂钩的经费拨款制度和员工收入调整机制，对评价优秀的加大绩效激励力度。对有条件的科研机构，探索实行合同管理制度，按合同约定的目标完成情况确定拨款、绩效工资水平和分配办法。完善科研机构、高校财政拨款支出、科研项目收入与支出、科研成果转化及收入情况等内部公开公示制度。</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四、进一步发挥科研项目资金的激励引导作用</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一）发挥财政科研项目资金在知识价值分配中的激励作用。根据科研项目特点完善财政资金管理，加大对科研人员的激励力度。对实验设备依赖程度低和实验材料耗费少的基础研究、软件开发和软科学研究等智力密集型项目，项目承担单位应在国家政策框架内，建立健全符合自身特点的劳务费、间接经费管理方式。项目承担单位可结合科研人员工作实绩，合理安排间接经费中绩效支出。建立符合科技创新</w:t>
      </w:r>
      <w:r w:rsidRPr="007D6BF7">
        <w:rPr>
          <w:rFonts w:hint="eastAsia"/>
          <w:sz w:val="28"/>
          <w:szCs w:val="28"/>
        </w:rPr>
        <w:lastRenderedPageBreak/>
        <w:t>规律的财政科技经费监管制度，探索在有条件的科研项目中实行经费支出负面清单管理。个人收入不与承担项目多少、获得经费高低直接挂钩。</w:t>
      </w:r>
    </w:p>
    <w:p w:rsidR="007D6BF7" w:rsidRPr="007D6BF7" w:rsidRDefault="007D6BF7" w:rsidP="007D6BF7">
      <w:pPr>
        <w:rPr>
          <w:sz w:val="28"/>
          <w:szCs w:val="28"/>
        </w:rPr>
      </w:pPr>
      <w:r w:rsidRPr="007D6BF7">
        <w:rPr>
          <w:rFonts w:hint="eastAsia"/>
          <w:sz w:val="28"/>
          <w:szCs w:val="28"/>
        </w:rPr>
        <w:t>（二）完善科研机构、高校横向委托项目经费管理制度。对于接受企业、其他社会组织委托的横向委托项目，人员经费使用按照合同约定进行管理。技术开发、技术咨询、技术服务等活动的奖酬金提取，按照《中华人民共和国促进科技成果转化法》及《国务院关于实施〈中华人民共和国促进科技成果转化法〉若干规定》执行；项目合同没有约定人员经费的，由单位自主决定。科研机构、高校应优先保证科研人员履行科研、教学等公益职能；科研人员承担横向委托项目，不得影响其履行岗位职责、完成本职工作。</w:t>
      </w:r>
    </w:p>
    <w:p w:rsidR="007D6BF7" w:rsidRPr="007D6BF7" w:rsidRDefault="007D6BF7" w:rsidP="007D6BF7">
      <w:pPr>
        <w:rPr>
          <w:sz w:val="28"/>
          <w:szCs w:val="28"/>
        </w:rPr>
      </w:pPr>
      <w:r w:rsidRPr="007D6BF7">
        <w:rPr>
          <w:rFonts w:hint="eastAsia"/>
          <w:sz w:val="28"/>
          <w:szCs w:val="28"/>
        </w:rPr>
        <w:t>（三）完善哲学社会科学研究领域项目经费管理制度。对符合条件的智库项目，探索采用政府购买服务制度，项目资金由项目承担单位按照服务合同约定管理使用。修订国家社会科学基金、教育部高校哲学社会科学繁荣计划的项目资金管理办法，取消劳务费比例限制，明确劳务费开支范围，加大对项目承担单位间接成本补偿和科研人员绩效激励力度。</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五、加强科技成果产权对科研人员的长期激励</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（一）强化科研机构、高校履行科技成果转化长期激励的法人责任。坚持长期产权激励与现金奖励并举，探索对科研人员实施股权、期权</w:t>
      </w:r>
      <w:r w:rsidRPr="007D6BF7">
        <w:rPr>
          <w:rFonts w:hint="eastAsia"/>
          <w:sz w:val="28"/>
          <w:szCs w:val="28"/>
        </w:rPr>
        <w:lastRenderedPageBreak/>
        <w:t>和分红激励，加大在专利权、著作权、植物新品种权、集成电路布图设计专有权等知识产权及科技成果转化形成的股权、岗位分红权等方面的激励力度。科研机构、高校应建立健全科技成果转化内部管理与奖励制度，自主决定科技成果转化收益分配和奖励方案，单位负责人和相关责任人按照《中华人民共和国促进科技成果转化法》及《国务院关于实施〈中华人民共和国促进科技成果转化法〉若干规定》予以免责，构建对科技人员的股权激励等中长期激励机制。以科技成果作价入股作为对科技人员的奖励涉及股权注册登记及变更的，</w:t>
      </w:r>
      <w:proofErr w:type="gramStart"/>
      <w:r w:rsidRPr="007D6BF7">
        <w:rPr>
          <w:rFonts w:hint="eastAsia"/>
          <w:sz w:val="28"/>
          <w:szCs w:val="28"/>
        </w:rPr>
        <w:t>无需报科研</w:t>
      </w:r>
      <w:proofErr w:type="gramEnd"/>
      <w:r w:rsidRPr="007D6BF7">
        <w:rPr>
          <w:rFonts w:hint="eastAsia"/>
          <w:sz w:val="28"/>
          <w:szCs w:val="28"/>
        </w:rPr>
        <w:t>机构、高校的主管部门审批。加快出台科研机构、高校以科技成果作价入股方式投资未上市中小企业形成的国有股，在企业上市时豁免向全国社会保障基金转持的政策。</w:t>
      </w:r>
    </w:p>
    <w:p w:rsidR="007D6BF7" w:rsidRPr="007D6BF7" w:rsidRDefault="007D6BF7" w:rsidP="007D6BF7">
      <w:pPr>
        <w:rPr>
          <w:sz w:val="28"/>
          <w:szCs w:val="28"/>
        </w:rPr>
      </w:pPr>
      <w:r w:rsidRPr="007D6BF7">
        <w:rPr>
          <w:rFonts w:hint="eastAsia"/>
          <w:sz w:val="28"/>
          <w:szCs w:val="28"/>
        </w:rPr>
        <w:t>（二）完善科研机构、高校领导人员科技成果转化股权奖励管理制度。科研机构、高校的正职领导和领导班子成员中属中央管理的干部，所属单位中担任法人代表的正职领导，在担任现职前因科技成果转化获得的股权，任职后应及时予以转让，逾期未转让的，任期内限制交易。限制股权交易的，在本人不担任上述职务一年后解除限制。相关部门、单位要加快制定具体落实办法。</w:t>
      </w:r>
    </w:p>
    <w:p w:rsidR="007D6BF7" w:rsidRPr="007D6BF7" w:rsidRDefault="007D6BF7" w:rsidP="007D6BF7">
      <w:pPr>
        <w:rPr>
          <w:sz w:val="28"/>
          <w:szCs w:val="28"/>
        </w:rPr>
      </w:pPr>
      <w:r w:rsidRPr="007D6BF7">
        <w:rPr>
          <w:rFonts w:hint="eastAsia"/>
          <w:sz w:val="28"/>
          <w:szCs w:val="28"/>
        </w:rPr>
        <w:t>（三）完善国有企业对科研人员的中长期激励机制。尊重企业作为市场经济主体在收入分配上的自主权，完善国有企业科研人员收入与科技成果、创新绩效挂钩的奖励制度。国有企业科研人员按照合同约定薪酬，探索对聘用的国际高端科技人才、高端技能人才实行协议工资、项目工资等市场化薪酬制度。符合条件的国有科技型企业，可采取股</w:t>
      </w:r>
      <w:r w:rsidRPr="007D6BF7">
        <w:rPr>
          <w:rFonts w:hint="eastAsia"/>
          <w:sz w:val="28"/>
          <w:szCs w:val="28"/>
        </w:rPr>
        <w:lastRenderedPageBreak/>
        <w:t>权出售、股权奖励、股权期权等股权方式，或项目收益分红、岗位分红等分红方式进行激励。</w:t>
      </w:r>
    </w:p>
    <w:p w:rsidR="007D6BF7" w:rsidRPr="007D6BF7" w:rsidRDefault="007D6BF7" w:rsidP="007D6BF7">
      <w:pPr>
        <w:rPr>
          <w:sz w:val="28"/>
          <w:szCs w:val="28"/>
        </w:rPr>
      </w:pPr>
      <w:r w:rsidRPr="007D6BF7">
        <w:rPr>
          <w:rFonts w:hint="eastAsia"/>
          <w:sz w:val="28"/>
          <w:szCs w:val="28"/>
        </w:rPr>
        <w:t>（四）完善股权激励等相关税收政策。对符合条件的股票期权、股权期权、限制性股票、股权奖励以及科技成果投资入股等实施递延纳税优惠政策，鼓励科研人员创新创业，进一步促进科技成果转化。</w:t>
      </w:r>
    </w:p>
    <w:p w:rsid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六、允许科研人员和教师依法依规适度兼职兼薪</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一）允许科研人员从事兼职工作获得合法收入。科研人员在履行好岗位职责、完成本职工作的前提下，经所在单位同意，可以到企业和其他科研机构、高校、社会组织等兼职并取得合法报酬。鼓励科研人员公益性兼职，积极参与决策咨询、扶贫济困、科学普及、法律援助和学术组织等活动。科研机构、高校应当规定或与科研人员约定兼职的权利和义务，实行科研人员兼职公示制度，兼职行为不得泄露本单位技术秘密，损害或侵占本单位合法权益，违反承担的社会责任。兼职取得的报酬原则上归个人，建立兼职获得股权及红利等收入的报告制度。担任领导职务的科研人员兼职及取酬，按中央有关规定执行。经所在单位批准，科研人员可以离岗从事科技成果转化等创新创业活动。兼职或离岗创业收入不受本单位绩效工资总量限制，个人须如实将兼职收入报单位备案，按有关规定缴纳个人所得税。</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（二）允许高校教师从事多</w:t>
      </w:r>
      <w:proofErr w:type="gramStart"/>
      <w:r w:rsidRPr="007D6BF7">
        <w:rPr>
          <w:rFonts w:hint="eastAsia"/>
          <w:sz w:val="28"/>
          <w:szCs w:val="28"/>
        </w:rPr>
        <w:t>点教学</w:t>
      </w:r>
      <w:proofErr w:type="gramEnd"/>
      <w:r w:rsidRPr="007D6BF7">
        <w:rPr>
          <w:rFonts w:hint="eastAsia"/>
          <w:sz w:val="28"/>
          <w:szCs w:val="28"/>
        </w:rPr>
        <w:t>获得合法收入。高校教师经所在单</w:t>
      </w:r>
      <w:r w:rsidRPr="007D6BF7">
        <w:rPr>
          <w:rFonts w:hint="eastAsia"/>
          <w:sz w:val="28"/>
          <w:szCs w:val="28"/>
        </w:rPr>
        <w:lastRenderedPageBreak/>
        <w:t>位批准，可开展多</w:t>
      </w:r>
      <w:proofErr w:type="gramStart"/>
      <w:r w:rsidRPr="007D6BF7">
        <w:rPr>
          <w:rFonts w:hint="eastAsia"/>
          <w:sz w:val="28"/>
          <w:szCs w:val="28"/>
        </w:rPr>
        <w:t>点教学</w:t>
      </w:r>
      <w:proofErr w:type="gramEnd"/>
      <w:r w:rsidRPr="007D6BF7">
        <w:rPr>
          <w:rFonts w:hint="eastAsia"/>
          <w:sz w:val="28"/>
          <w:szCs w:val="28"/>
        </w:rPr>
        <w:t>并获得报酬。鼓励利用网络平台等多种媒介，推动精品教材和课程等优质教学资源的社会共享，授课教师按照市场机制取得报酬。</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七、加强组织实施</w:t>
      </w:r>
    </w:p>
    <w:p w:rsidR="007D6BF7" w:rsidRPr="007D6BF7" w:rsidRDefault="007D6BF7" w:rsidP="007D6BF7">
      <w:pPr>
        <w:rPr>
          <w:sz w:val="28"/>
          <w:szCs w:val="28"/>
        </w:rPr>
      </w:pPr>
    </w:p>
    <w:p w:rsidR="007D6BF7" w:rsidRPr="007D6BF7" w:rsidRDefault="007D6BF7" w:rsidP="007D6BF7">
      <w:pPr>
        <w:rPr>
          <w:sz w:val="28"/>
          <w:szCs w:val="28"/>
        </w:rPr>
      </w:pPr>
      <w:r w:rsidRPr="007D6BF7">
        <w:rPr>
          <w:rFonts w:hint="eastAsia"/>
          <w:sz w:val="28"/>
          <w:szCs w:val="28"/>
        </w:rPr>
        <w:t>（一）强化联动。各地区各部门要加强组织领导，健全工作机制，强化部门协同和上下联动，制定实施细则和配套政策措施，加强督促检查，确保各项任务落到实处。加强政策解读和宣传，加强干部学习培训，激发广大科研人员的创新创业热情。</w:t>
      </w:r>
    </w:p>
    <w:p w:rsidR="007D6BF7" w:rsidRPr="007D6BF7" w:rsidRDefault="007D6BF7" w:rsidP="007D6BF7">
      <w:pPr>
        <w:rPr>
          <w:sz w:val="28"/>
          <w:szCs w:val="28"/>
        </w:rPr>
      </w:pPr>
      <w:r w:rsidRPr="007D6BF7">
        <w:rPr>
          <w:rFonts w:hint="eastAsia"/>
          <w:sz w:val="28"/>
          <w:szCs w:val="28"/>
        </w:rPr>
        <w:t>（二）先行先试。选择一些地方和单位结合实际情况先期开展试点，鼓励大胆探索、率先突破，及时推广成功经验。对基层因地制宜的改革探索建立容错机制。</w:t>
      </w:r>
    </w:p>
    <w:p w:rsidR="007D6BF7" w:rsidRPr="007D6BF7" w:rsidRDefault="007D6BF7" w:rsidP="007D6BF7">
      <w:pPr>
        <w:rPr>
          <w:sz w:val="28"/>
          <w:szCs w:val="28"/>
        </w:rPr>
      </w:pPr>
      <w:r w:rsidRPr="007D6BF7">
        <w:rPr>
          <w:rFonts w:hint="eastAsia"/>
          <w:sz w:val="28"/>
          <w:szCs w:val="28"/>
        </w:rPr>
        <w:t>（三）加强考核。各地区各部门要抓紧制定以增加知识价值为导向的激励、考核和评价管理办法，建立第三方评估评价机制，规范相关激励措施，在全社会形成既充满活力又规范有序的正向激励。</w:t>
      </w:r>
    </w:p>
    <w:p w:rsidR="007D6BF7" w:rsidRPr="007D6BF7" w:rsidRDefault="007D6BF7" w:rsidP="007D6BF7">
      <w:pPr>
        <w:rPr>
          <w:sz w:val="28"/>
          <w:szCs w:val="28"/>
        </w:rPr>
      </w:pPr>
      <w:r w:rsidRPr="007D6BF7">
        <w:rPr>
          <w:rFonts w:hint="eastAsia"/>
          <w:sz w:val="28"/>
          <w:szCs w:val="28"/>
        </w:rPr>
        <w:t>本意见适用于国家设立的科研机构、高校和国有独资企业（公司）。其他单位对知识型、技术型、创新型劳动者可参照本意见精神，结合各自实际，制定具体收入分配办法。国防和军队系统的科研机构、高校、企业收入分配政策另行制定。</w:t>
      </w:r>
    </w:p>
    <w:p w:rsidR="00396FA8" w:rsidRPr="007D6BF7" w:rsidRDefault="00CE3EAD">
      <w:pPr>
        <w:rPr>
          <w:sz w:val="28"/>
          <w:szCs w:val="28"/>
        </w:rPr>
      </w:pPr>
    </w:p>
    <w:sectPr w:rsidR="00396FA8" w:rsidRPr="007D6BF7" w:rsidSect="00353BD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D6BF7"/>
    <w:rsid w:val="00026025"/>
    <w:rsid w:val="00353BD4"/>
    <w:rsid w:val="00541370"/>
    <w:rsid w:val="007D6BF7"/>
    <w:rsid w:val="00A94AA7"/>
    <w:rsid w:val="00AD241F"/>
    <w:rsid w:val="00CE3EAD"/>
    <w:rsid w:val="00F801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BD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54698137">
      <w:bodyDiv w:val="1"/>
      <w:marLeft w:val="0"/>
      <w:marRight w:val="0"/>
      <w:marTop w:val="0"/>
      <w:marBottom w:val="0"/>
      <w:divBdr>
        <w:top w:val="none" w:sz="0" w:space="0" w:color="auto"/>
        <w:left w:val="none" w:sz="0" w:space="0" w:color="auto"/>
        <w:bottom w:val="none" w:sz="0" w:space="0" w:color="auto"/>
        <w:right w:val="none" w:sz="0" w:space="0" w:color="auto"/>
      </w:divBdr>
      <w:divsChild>
        <w:div w:id="1063480966">
          <w:marLeft w:val="0"/>
          <w:marRight w:val="0"/>
          <w:marTop w:val="0"/>
          <w:marBottom w:val="0"/>
          <w:divBdr>
            <w:top w:val="none" w:sz="0" w:space="0" w:color="auto"/>
            <w:left w:val="none" w:sz="0" w:space="0" w:color="auto"/>
            <w:bottom w:val="none" w:sz="0" w:space="0" w:color="auto"/>
            <w:right w:val="none" w:sz="0" w:space="0" w:color="auto"/>
          </w:divBdr>
          <w:divsChild>
            <w:div w:id="7681673">
              <w:marLeft w:val="0"/>
              <w:marRight w:val="0"/>
              <w:marTop w:val="0"/>
              <w:marBottom w:val="0"/>
              <w:divBdr>
                <w:top w:val="none" w:sz="0" w:space="0" w:color="auto"/>
                <w:left w:val="none" w:sz="0" w:space="0" w:color="auto"/>
                <w:bottom w:val="none" w:sz="0" w:space="0" w:color="auto"/>
                <w:right w:val="none" w:sz="0" w:space="0" w:color="auto"/>
              </w:divBdr>
              <w:divsChild>
                <w:div w:id="794834664">
                  <w:marLeft w:val="0"/>
                  <w:marRight w:val="0"/>
                  <w:marTop w:val="150"/>
                  <w:marBottom w:val="150"/>
                  <w:divBdr>
                    <w:top w:val="none" w:sz="0" w:space="0" w:color="auto"/>
                    <w:left w:val="none" w:sz="0" w:space="0" w:color="auto"/>
                    <w:bottom w:val="none" w:sz="0" w:space="0" w:color="auto"/>
                    <w:right w:val="none" w:sz="0" w:space="0" w:color="auto"/>
                  </w:divBdr>
                  <w:divsChild>
                    <w:div w:id="249314276">
                      <w:marLeft w:val="0"/>
                      <w:marRight w:val="0"/>
                      <w:marTop w:val="100"/>
                      <w:marBottom w:val="100"/>
                      <w:divBdr>
                        <w:top w:val="none" w:sz="0" w:space="0" w:color="auto"/>
                        <w:left w:val="none" w:sz="0" w:space="0" w:color="auto"/>
                        <w:bottom w:val="none" w:sz="0" w:space="0" w:color="auto"/>
                        <w:right w:val="none" w:sz="0" w:space="0" w:color="auto"/>
                      </w:divBdr>
                      <w:divsChild>
                        <w:div w:id="2062243609">
                          <w:marLeft w:val="150"/>
                          <w:marRight w:val="15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737</Words>
  <Characters>4201</Characters>
  <Application>Microsoft Office Word</Application>
  <DocSecurity>0</DocSecurity>
  <Lines>35</Lines>
  <Paragraphs>9</Paragraphs>
  <ScaleCrop>false</ScaleCrop>
  <Company>杭州科技职业技术学院</Company>
  <LinksUpToDate>false</LinksUpToDate>
  <CharactersWithSpaces>4929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xf</dc:creator>
  <cp:keywords/>
  <dc:description/>
  <cp:lastModifiedBy>肖芳</cp:lastModifiedBy>
  <cp:revision>3</cp:revision>
  <dcterms:created xsi:type="dcterms:W3CDTF">2017-09-30T02:50:00Z</dcterms:created>
  <dcterms:modified xsi:type="dcterms:W3CDTF">2021-04-22T06:04:00Z</dcterms:modified>
</cp:coreProperties>
</file>