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5A2393">
      <w:pPr>
        <w:pStyle w:val="31"/>
        <w:jc w:val="center"/>
        <w:rPr>
          <w:rFonts w:hint="eastAsia" w:ascii="方正公文小标宋" w:hAnsi="方正公文小标宋" w:eastAsia="方正公文小标宋" w:cs="方正公文小标宋"/>
        </w:rPr>
      </w:pPr>
      <w:r>
        <w:rPr>
          <w:rFonts w:hint="eastAsia" w:ascii="方正公文小标宋" w:hAnsi="方正公文小标宋" w:eastAsia="方正公文小标宋" w:cs="方正公文小标宋"/>
        </w:rPr>
        <w:t>就业创业服务中心</w:t>
      </w:r>
    </w:p>
    <w:p w14:paraId="0D9031EE">
      <w:pPr>
        <w:pStyle w:val="31"/>
        <w:jc w:val="center"/>
        <w:rPr>
          <w:rFonts w:hint="eastAsia" w:ascii="方正公文小标宋" w:hAnsi="方正公文小标宋" w:eastAsia="方正公文小标宋" w:cs="方正公文小标宋"/>
        </w:rPr>
      </w:pPr>
      <w:r>
        <w:rPr>
          <w:rFonts w:hint="eastAsia" w:ascii="方正公文小标宋" w:hAnsi="方正公文小标宋" w:eastAsia="方正公文小标宋" w:cs="方正公文小标宋"/>
        </w:rPr>
        <w:t>管理办法</w:t>
      </w:r>
    </w:p>
    <w:p w14:paraId="48FD35D1">
      <w:pPr>
        <w:pStyle w:val="3"/>
        <w:pageBreakBefore w:val="0"/>
        <w:widowControl/>
        <w:kinsoku/>
        <w:wordWrap/>
        <w:overflowPunct/>
        <w:topLinePunct w:val="0"/>
        <w:autoSpaceDE/>
        <w:autoSpaceDN/>
        <w:bidi w:val="0"/>
        <w:adjustRightInd/>
        <w:snapToGrid/>
        <w:spacing w:before="0" w:after="0" w:line="360" w:lineRule="auto"/>
        <w:ind w:firstLine="562" w:firstLineChars="200"/>
        <w:jc w:val="center"/>
        <w:textAlignment w:val="auto"/>
        <w:rPr>
          <w:rFonts w:hint="eastAsia" w:ascii="宋体" w:hAnsi="宋体" w:eastAsia="宋体" w:cs="宋体"/>
          <w:sz w:val="28"/>
          <w:szCs w:val="28"/>
        </w:rPr>
      </w:pPr>
      <w:r>
        <w:rPr>
          <w:rFonts w:hint="eastAsia" w:ascii="宋体" w:hAnsi="宋体" w:eastAsia="宋体" w:cs="宋体"/>
          <w:sz w:val="28"/>
          <w:szCs w:val="28"/>
        </w:rPr>
        <w:t>第一章  总则</w:t>
      </w:r>
    </w:p>
    <w:p w14:paraId="57E2F271">
      <w:pPr>
        <w:pageBreakBefore w:val="0"/>
        <w:widowControl/>
        <w:kinsoku/>
        <w:wordWrap/>
        <w:overflowPunct/>
        <w:topLinePunct w:val="0"/>
        <w:autoSpaceDE/>
        <w:autoSpaceDN/>
        <w:bidi w:val="0"/>
        <w:adjustRightInd/>
        <w:snapToGrid/>
        <w:spacing w:after="0" w:line="360" w:lineRule="auto"/>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 xml:space="preserve">第一条 </w:t>
      </w:r>
      <w:r>
        <w:rPr>
          <w:rFonts w:hint="eastAsia" w:ascii="宋体" w:hAnsi="宋体" w:eastAsia="宋体" w:cs="宋体"/>
          <w:sz w:val="28"/>
          <w:szCs w:val="28"/>
        </w:rPr>
        <w:t xml:space="preserve"> </w:t>
      </w:r>
      <w:r>
        <w:rPr>
          <w:rFonts w:hint="eastAsia" w:ascii="宋体" w:hAnsi="宋体" w:eastAsia="宋体" w:cs="宋体"/>
          <w:color w:val="000000"/>
          <w:kern w:val="0"/>
          <w:sz w:val="28"/>
          <w:szCs w:val="28"/>
          <w:lang w:val="en-US" w:eastAsia="zh-CN" w:bidi="ar"/>
        </w:rPr>
        <w:t>为规范就业创业服务中心（以下简称 “服务中心”）日常管理，</w:t>
      </w:r>
      <w:r>
        <w:rPr>
          <w:rFonts w:hint="eastAsia" w:ascii="宋体" w:hAnsi="宋体" w:eastAsia="宋体" w:cs="宋体"/>
          <w:sz w:val="28"/>
          <w:szCs w:val="28"/>
        </w:rPr>
        <w:t>为退役军人提供优质高效的就业创业服务，特制定本办法。</w:t>
      </w:r>
    </w:p>
    <w:p w14:paraId="18B7B3D5">
      <w:pPr>
        <w:pageBreakBefore w:val="0"/>
        <w:widowControl/>
        <w:kinsoku/>
        <w:wordWrap/>
        <w:overflowPunct/>
        <w:topLinePunct w:val="0"/>
        <w:autoSpaceDE/>
        <w:autoSpaceDN/>
        <w:bidi w:val="0"/>
        <w:adjustRightInd/>
        <w:snapToGrid/>
        <w:spacing w:after="0" w:line="360" w:lineRule="auto"/>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第二条</w:t>
      </w:r>
      <w:r>
        <w:rPr>
          <w:rFonts w:hint="eastAsia" w:ascii="宋体" w:hAnsi="宋体" w:eastAsia="宋体" w:cs="宋体"/>
          <w:sz w:val="28"/>
          <w:szCs w:val="28"/>
        </w:rPr>
        <w:t xml:space="preserve">  服务中心位于杭州科技职业技术学院继续教育学院终身教育楼4楼。</w:t>
      </w:r>
      <w:r>
        <w:rPr>
          <w:rFonts w:hint="eastAsia" w:cs="宋体"/>
          <w:sz w:val="28"/>
          <w:szCs w:val="28"/>
          <w:lang w:val="en-US" w:eastAsia="zh-CN"/>
        </w:rPr>
        <w:t>在杭州市退役军人事务局相关职能部门的指导下，由杭州退役军人教育培训学院负责日常管理</w:t>
      </w:r>
      <w:r>
        <w:rPr>
          <w:rFonts w:hint="eastAsia" w:ascii="宋体" w:hAnsi="宋体" w:eastAsia="宋体" w:cs="宋体"/>
          <w:sz w:val="28"/>
          <w:szCs w:val="28"/>
        </w:rPr>
        <w:t>。</w:t>
      </w:r>
    </w:p>
    <w:p w14:paraId="642CB6E6">
      <w:pPr>
        <w:pageBreakBefore w:val="0"/>
        <w:widowControl/>
        <w:kinsoku/>
        <w:wordWrap/>
        <w:overflowPunct/>
        <w:topLinePunct w:val="0"/>
        <w:autoSpaceDE/>
        <w:autoSpaceDN/>
        <w:bidi w:val="0"/>
        <w:adjustRightInd/>
        <w:snapToGrid/>
        <w:spacing w:after="0" w:line="360" w:lineRule="auto"/>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 xml:space="preserve">第三条 </w:t>
      </w:r>
      <w:r>
        <w:rPr>
          <w:rFonts w:hint="eastAsia" w:ascii="宋体" w:hAnsi="宋体" w:eastAsia="宋体" w:cs="宋体"/>
          <w:sz w:val="28"/>
          <w:szCs w:val="28"/>
        </w:rPr>
        <w:t xml:space="preserve"> 服务中心坚持公益属性，聚焦退役军人就业创业需求，提供政策咨询、</w:t>
      </w:r>
      <w:r>
        <w:rPr>
          <w:rFonts w:hint="eastAsia" w:cs="宋体"/>
          <w:sz w:val="28"/>
          <w:szCs w:val="28"/>
          <w:lang w:eastAsia="zh-CN"/>
        </w:rPr>
        <w:t>教育</w:t>
      </w:r>
      <w:r>
        <w:rPr>
          <w:rFonts w:hint="eastAsia" w:ascii="宋体" w:hAnsi="宋体" w:eastAsia="宋体" w:cs="宋体"/>
          <w:sz w:val="28"/>
          <w:szCs w:val="28"/>
        </w:rPr>
        <w:t>培训、</w:t>
      </w:r>
      <w:r>
        <w:rPr>
          <w:rFonts w:hint="eastAsia" w:cs="宋体"/>
          <w:sz w:val="28"/>
          <w:szCs w:val="28"/>
          <w:lang w:eastAsia="zh-CN"/>
        </w:rPr>
        <w:t>就</w:t>
      </w:r>
      <w:r>
        <w:rPr>
          <w:rFonts w:hint="eastAsia" w:ascii="宋体" w:hAnsi="宋体" w:eastAsia="宋体" w:cs="宋体"/>
          <w:sz w:val="28"/>
          <w:szCs w:val="28"/>
        </w:rPr>
        <w:t>创</w:t>
      </w:r>
      <w:r>
        <w:rPr>
          <w:rFonts w:hint="eastAsia" w:cs="宋体"/>
          <w:sz w:val="28"/>
          <w:szCs w:val="28"/>
          <w:lang w:eastAsia="zh-CN"/>
        </w:rPr>
        <w:t>服务</w:t>
      </w:r>
      <w:r>
        <w:rPr>
          <w:rFonts w:hint="eastAsia" w:ascii="宋体" w:hAnsi="宋体" w:eastAsia="宋体" w:cs="宋体"/>
          <w:sz w:val="28"/>
          <w:szCs w:val="28"/>
        </w:rPr>
        <w:t>、</w:t>
      </w:r>
      <w:r>
        <w:rPr>
          <w:rFonts w:hint="eastAsia" w:cs="宋体"/>
          <w:sz w:val="28"/>
          <w:szCs w:val="28"/>
          <w:lang w:eastAsia="zh-CN"/>
        </w:rPr>
        <w:t>拥军服务、公益服务</w:t>
      </w:r>
      <w:r>
        <w:rPr>
          <w:rFonts w:hint="eastAsia" w:ascii="宋体" w:hAnsi="宋体" w:eastAsia="宋体" w:cs="宋体"/>
          <w:sz w:val="28"/>
          <w:szCs w:val="28"/>
        </w:rPr>
        <w:t>等一站式服务，打造退役军人就业创业综合服务平台。</w:t>
      </w:r>
    </w:p>
    <w:p w14:paraId="3ACF8B5C">
      <w:pPr>
        <w:pStyle w:val="3"/>
        <w:pageBreakBefore w:val="0"/>
        <w:widowControl/>
        <w:kinsoku/>
        <w:wordWrap/>
        <w:overflowPunct/>
        <w:topLinePunct w:val="0"/>
        <w:autoSpaceDE/>
        <w:autoSpaceDN/>
        <w:bidi w:val="0"/>
        <w:adjustRightInd/>
        <w:snapToGrid/>
        <w:spacing w:before="0" w:after="0" w:line="360" w:lineRule="auto"/>
        <w:ind w:firstLine="562" w:firstLineChars="200"/>
        <w:jc w:val="center"/>
        <w:textAlignment w:val="auto"/>
        <w:rPr>
          <w:rFonts w:hint="eastAsia" w:ascii="宋体" w:hAnsi="宋体" w:eastAsia="宋体" w:cs="宋体"/>
          <w:sz w:val="28"/>
          <w:szCs w:val="28"/>
        </w:rPr>
      </w:pPr>
      <w:r>
        <w:rPr>
          <w:rFonts w:hint="eastAsia" w:ascii="宋体" w:hAnsi="宋体" w:eastAsia="宋体" w:cs="宋体"/>
          <w:sz w:val="28"/>
          <w:szCs w:val="28"/>
        </w:rPr>
        <w:t>第二章  管理机构及职责</w:t>
      </w:r>
    </w:p>
    <w:p w14:paraId="3BD48A6E">
      <w:pPr>
        <w:pageBreakBefore w:val="0"/>
        <w:widowControl/>
        <w:kinsoku/>
        <w:wordWrap/>
        <w:overflowPunct/>
        <w:topLinePunct w:val="0"/>
        <w:autoSpaceDE/>
        <w:autoSpaceDN/>
        <w:bidi w:val="0"/>
        <w:adjustRightInd/>
        <w:snapToGrid/>
        <w:spacing w:after="0" w:line="360" w:lineRule="auto"/>
        <w:ind w:firstLine="562"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b/>
          <w:bCs/>
          <w:sz w:val="28"/>
          <w:szCs w:val="28"/>
        </w:rPr>
        <w:t>第四条</w:t>
      </w:r>
      <w:r>
        <w:rPr>
          <w:rFonts w:hint="eastAsia" w:ascii="宋体" w:hAnsi="宋体" w:eastAsia="宋体" w:cs="宋体"/>
          <w:sz w:val="28"/>
          <w:szCs w:val="28"/>
        </w:rPr>
        <w:t xml:space="preserve">  </w:t>
      </w:r>
      <w:r>
        <w:rPr>
          <w:rFonts w:hint="eastAsia" w:ascii="宋体" w:hAnsi="宋体" w:eastAsia="宋体" w:cs="宋体"/>
          <w:color w:val="000000"/>
          <w:kern w:val="0"/>
          <w:sz w:val="28"/>
          <w:szCs w:val="28"/>
          <w:lang w:val="en-US" w:eastAsia="zh-CN" w:bidi="ar"/>
        </w:rPr>
        <w:t>杭州退役军人教育培训学院作为服务中心日常管理机构，主要履行以下职责：</w:t>
      </w:r>
    </w:p>
    <w:p w14:paraId="21809D30">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（一）制定服务中心管理制度、工作流程和发展规划；</w:t>
      </w:r>
    </w:p>
    <w:p w14:paraId="20993627">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（二）组织开展入驻企业公开遴选、材料审核、联合评审；</w:t>
      </w:r>
    </w:p>
    <w:p w14:paraId="69C5CEA9">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（三）负责入驻企业日常管理、服务保障、数据统计、年度考核；</w:t>
      </w:r>
    </w:p>
    <w:p w14:paraId="12CF8086">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（四）对接杭州市退役军人事务局等相关部门，落实各项扶持政策；</w:t>
      </w:r>
    </w:p>
    <w:p w14:paraId="1151FA74">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（五）维护服务中心场地设施、公共设备及办公环境；</w:t>
      </w:r>
    </w:p>
    <w:p w14:paraId="2373A4AF">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（六）建立退役军人就业创业信息档案，做好数据统计与上报工作；</w:t>
      </w:r>
    </w:p>
    <w:p w14:paraId="02737F79">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（七）协调解决入驻企业及退役军人在服务中心遇到的问题；</w:t>
      </w:r>
    </w:p>
    <w:p w14:paraId="110A030C">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（八）完成上级部门交办的其他退役军人就业创业服务工作。</w:t>
      </w:r>
    </w:p>
    <w:p w14:paraId="17A5FEE5">
      <w:pPr>
        <w:pStyle w:val="3"/>
        <w:pageBreakBefore w:val="0"/>
        <w:widowControl/>
        <w:kinsoku/>
        <w:wordWrap/>
        <w:overflowPunct/>
        <w:topLinePunct w:val="0"/>
        <w:autoSpaceDE/>
        <w:autoSpaceDN/>
        <w:bidi w:val="0"/>
        <w:adjustRightInd/>
        <w:snapToGrid/>
        <w:spacing w:before="0" w:after="0" w:line="360" w:lineRule="auto"/>
        <w:ind w:firstLine="562" w:firstLineChars="200"/>
        <w:jc w:val="center"/>
        <w:textAlignment w:val="auto"/>
        <w:rPr>
          <w:rFonts w:hint="eastAsia" w:ascii="宋体" w:hAnsi="宋体" w:eastAsia="宋体" w:cs="宋体"/>
          <w:sz w:val="28"/>
          <w:szCs w:val="28"/>
        </w:rPr>
      </w:pPr>
      <w:r>
        <w:rPr>
          <w:rFonts w:hint="eastAsia" w:ascii="宋体" w:hAnsi="宋体" w:eastAsia="宋体" w:cs="宋体"/>
          <w:sz w:val="28"/>
          <w:szCs w:val="28"/>
        </w:rPr>
        <w:t>第三章  入驻条件</w:t>
      </w:r>
    </w:p>
    <w:p w14:paraId="0EDBDFDC">
      <w:pPr>
        <w:pageBreakBefore w:val="0"/>
        <w:widowControl/>
        <w:kinsoku/>
        <w:wordWrap/>
        <w:overflowPunct/>
        <w:topLinePunct w:val="0"/>
        <w:autoSpaceDE/>
        <w:autoSpaceDN/>
        <w:bidi w:val="0"/>
        <w:adjustRightInd/>
        <w:snapToGrid/>
        <w:spacing w:after="0" w:line="360" w:lineRule="auto"/>
        <w:ind w:firstLine="562"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b/>
          <w:bCs/>
          <w:sz w:val="28"/>
          <w:szCs w:val="28"/>
          <w:lang w:val="en-US" w:eastAsia="zh-CN"/>
        </w:rPr>
        <w:t>第五条</w:t>
      </w:r>
      <w:r>
        <w:rPr>
          <w:rFonts w:hint="eastAsia" w:ascii="宋体" w:hAnsi="宋体" w:eastAsia="宋体" w:cs="宋体"/>
          <w:color w:val="000000"/>
          <w:kern w:val="0"/>
          <w:sz w:val="28"/>
          <w:szCs w:val="28"/>
          <w:lang w:val="en-US" w:eastAsia="zh-CN" w:bidi="ar"/>
        </w:rPr>
        <w:t xml:space="preserve">  申请入驻服务中心的企业/团队应符合以下条件：</w:t>
      </w:r>
    </w:p>
    <w:p w14:paraId="7AC18DDB">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（一）依法注册、合法经营、无违法违规记录；</w:t>
      </w:r>
    </w:p>
    <w:p w14:paraId="17E35AF5">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（二）项目与退役军人就业创业服务相关，具备社会价值；</w:t>
      </w:r>
    </w:p>
    <w:p w14:paraId="45DFE6D6">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（三）承诺提供就业岗位、技能培训、创业指导等公益服务；</w:t>
      </w:r>
    </w:p>
    <w:p w14:paraId="311B2B99">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（四）具备管理制度与服务团队；</w:t>
      </w:r>
    </w:p>
    <w:p w14:paraId="690E2793">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（五）认同公益理念，遵守管理规定。</w:t>
      </w:r>
    </w:p>
    <w:p w14:paraId="56825613">
      <w:pPr>
        <w:pageBreakBefore w:val="0"/>
        <w:widowControl/>
        <w:kinsoku/>
        <w:wordWrap/>
        <w:overflowPunct/>
        <w:topLinePunct w:val="0"/>
        <w:autoSpaceDE/>
        <w:autoSpaceDN/>
        <w:bidi w:val="0"/>
        <w:adjustRightInd/>
        <w:snapToGrid/>
        <w:spacing w:after="0" w:line="360" w:lineRule="auto"/>
        <w:ind w:firstLine="562"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b/>
          <w:bCs/>
          <w:sz w:val="28"/>
          <w:szCs w:val="28"/>
          <w:lang w:val="en-US" w:eastAsia="zh-CN"/>
        </w:rPr>
        <w:t>第六条</w:t>
      </w:r>
      <w:r>
        <w:rPr>
          <w:rFonts w:hint="eastAsia" w:ascii="宋体" w:hAnsi="宋体" w:eastAsia="宋体" w:cs="宋体"/>
          <w:color w:val="000000"/>
          <w:kern w:val="0"/>
          <w:sz w:val="28"/>
          <w:szCs w:val="28"/>
          <w:lang w:val="en-US" w:eastAsia="zh-CN" w:bidi="ar"/>
        </w:rPr>
        <w:t xml:space="preserve">  优先入驻对象：</w:t>
      </w:r>
    </w:p>
    <w:p w14:paraId="0BE60697">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（一）退役军人创办企业；</w:t>
      </w:r>
    </w:p>
    <w:p w14:paraId="12BFB34E">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（二）退役军人就业创业专业服务机构；</w:t>
      </w:r>
    </w:p>
    <w:p w14:paraId="45CDB2A4">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（三）能提供稳定岗位与培训的优质企业；</w:t>
      </w:r>
    </w:p>
    <w:p w14:paraId="2B54EE43">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（四）信誉良好、服务能力强的社会机构</w:t>
      </w:r>
    </w:p>
    <w:p w14:paraId="1D111AB5">
      <w:pPr>
        <w:pStyle w:val="3"/>
        <w:pageBreakBefore w:val="0"/>
        <w:widowControl/>
        <w:kinsoku/>
        <w:wordWrap/>
        <w:overflowPunct/>
        <w:topLinePunct w:val="0"/>
        <w:autoSpaceDE/>
        <w:autoSpaceDN/>
        <w:bidi w:val="0"/>
        <w:adjustRightInd/>
        <w:snapToGrid/>
        <w:spacing w:before="0" w:after="0" w:line="360" w:lineRule="auto"/>
        <w:ind w:firstLine="562" w:firstLineChars="200"/>
        <w:jc w:val="center"/>
        <w:textAlignment w:val="auto"/>
        <w:rPr>
          <w:rFonts w:hint="eastAsia" w:ascii="宋体" w:hAnsi="宋体" w:eastAsia="宋体" w:cs="宋体"/>
          <w:sz w:val="28"/>
          <w:szCs w:val="28"/>
        </w:rPr>
      </w:pPr>
      <w:r>
        <w:rPr>
          <w:rFonts w:hint="eastAsia" w:ascii="宋体" w:hAnsi="宋体" w:eastAsia="宋体" w:cs="宋体"/>
          <w:sz w:val="28"/>
          <w:szCs w:val="28"/>
        </w:rPr>
        <w:t xml:space="preserve">第四章  </w:t>
      </w:r>
      <w:r>
        <w:rPr>
          <w:rFonts w:hint="eastAsia" w:ascii="宋体" w:hAnsi="宋体" w:eastAsia="宋体" w:cs="宋体"/>
          <w:sz w:val="28"/>
          <w:szCs w:val="28"/>
          <w:lang w:eastAsia="zh-CN"/>
        </w:rPr>
        <w:t>遴选与</w:t>
      </w:r>
      <w:r>
        <w:rPr>
          <w:rFonts w:hint="eastAsia" w:ascii="宋体" w:hAnsi="宋体" w:eastAsia="宋体" w:cs="宋体"/>
          <w:sz w:val="28"/>
          <w:szCs w:val="28"/>
        </w:rPr>
        <w:t>入驻程序</w:t>
      </w:r>
    </w:p>
    <w:p w14:paraId="7AC5C719">
      <w:pPr>
        <w:pageBreakBefore w:val="0"/>
        <w:widowControl/>
        <w:kinsoku/>
        <w:wordWrap/>
        <w:overflowPunct/>
        <w:topLinePunct w:val="0"/>
        <w:autoSpaceDE/>
        <w:autoSpaceDN/>
        <w:bidi w:val="0"/>
        <w:adjustRightInd/>
        <w:snapToGrid/>
        <w:spacing w:after="0" w:line="360" w:lineRule="auto"/>
        <w:ind w:firstLine="562"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b/>
          <w:bCs/>
          <w:sz w:val="28"/>
          <w:szCs w:val="28"/>
          <w:lang w:val="en-US" w:eastAsia="zh-CN"/>
        </w:rPr>
        <w:t>第七条</w:t>
      </w:r>
      <w:r>
        <w:rPr>
          <w:rFonts w:hint="eastAsia" w:ascii="宋体" w:hAnsi="宋体" w:eastAsia="宋体" w:cs="宋体"/>
          <w:color w:val="000000"/>
          <w:kern w:val="0"/>
          <w:sz w:val="28"/>
          <w:szCs w:val="28"/>
          <w:lang w:val="en-US" w:eastAsia="zh-CN" w:bidi="ar"/>
        </w:rPr>
        <w:t xml:space="preserve"> 公开遴选：</w:t>
      </w:r>
    </w:p>
    <w:p w14:paraId="2DF29824">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服务中心按年度发布入驻企业遴选通知，面向社会公开征集。 入驻申请：</w:t>
      </w:r>
    </w:p>
    <w:p w14:paraId="4DF7CAE7">
      <w:pPr>
        <w:pageBreakBefore w:val="0"/>
        <w:widowControl/>
        <w:kinsoku/>
        <w:wordWrap/>
        <w:overflowPunct/>
        <w:topLinePunct w:val="0"/>
        <w:autoSpaceDE/>
        <w:autoSpaceDN/>
        <w:bidi w:val="0"/>
        <w:adjustRightInd/>
        <w:snapToGrid/>
        <w:spacing w:after="0" w:line="360" w:lineRule="auto"/>
        <w:ind w:firstLine="562"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b/>
          <w:bCs/>
          <w:sz w:val="28"/>
          <w:szCs w:val="28"/>
          <w:lang w:val="en-US" w:eastAsia="zh-CN"/>
        </w:rPr>
        <w:t>第八条</w:t>
      </w:r>
      <w:r>
        <w:rPr>
          <w:rFonts w:hint="eastAsia" w:ascii="宋体" w:hAnsi="宋体" w:eastAsia="宋体" w:cs="宋体"/>
          <w:color w:val="000000"/>
          <w:kern w:val="0"/>
          <w:sz w:val="28"/>
          <w:szCs w:val="28"/>
          <w:lang w:val="en-US" w:eastAsia="zh-CN" w:bidi="ar"/>
        </w:rPr>
        <w:t xml:space="preserve"> 入驻申请：</w:t>
      </w:r>
    </w:p>
    <w:p w14:paraId="7C2640FB">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1. 提交《就业创业服务中心遴选</w:t>
      </w:r>
      <w:r>
        <w:rPr>
          <w:rFonts w:hint="eastAsia" w:cs="宋体"/>
          <w:color w:val="000000"/>
          <w:kern w:val="0"/>
          <w:sz w:val="28"/>
          <w:szCs w:val="28"/>
          <w:lang w:val="en-US" w:eastAsia="zh-CN" w:bidi="ar"/>
        </w:rPr>
        <w:t>备案</w:t>
      </w:r>
      <w:r>
        <w:rPr>
          <w:rFonts w:hint="eastAsia" w:ascii="宋体" w:hAnsi="宋体" w:eastAsia="宋体" w:cs="宋体"/>
          <w:color w:val="000000"/>
          <w:kern w:val="0"/>
          <w:sz w:val="28"/>
          <w:szCs w:val="28"/>
          <w:lang w:val="en-US" w:eastAsia="zh-CN" w:bidi="ar"/>
        </w:rPr>
        <w:t>申请表》；</w:t>
      </w:r>
    </w:p>
    <w:p w14:paraId="693E017B">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2. 提供营业执照、法人身份证、企业简介、服务方案等相关材料；</w:t>
      </w:r>
    </w:p>
    <w:p w14:paraId="027239BE">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3. 提交《公益服务承诺书》。</w:t>
      </w:r>
    </w:p>
    <w:p w14:paraId="0E650FDB">
      <w:pPr>
        <w:pageBreakBefore w:val="0"/>
        <w:widowControl/>
        <w:kinsoku/>
        <w:wordWrap/>
        <w:overflowPunct/>
        <w:topLinePunct w:val="0"/>
        <w:autoSpaceDE/>
        <w:autoSpaceDN/>
        <w:bidi w:val="0"/>
        <w:adjustRightInd/>
        <w:snapToGrid/>
        <w:spacing w:after="0" w:line="360" w:lineRule="auto"/>
        <w:ind w:firstLine="562"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b/>
          <w:bCs/>
          <w:sz w:val="28"/>
          <w:szCs w:val="28"/>
          <w:lang w:val="en-US" w:eastAsia="zh-CN"/>
        </w:rPr>
        <w:t xml:space="preserve">第九条 </w:t>
      </w:r>
      <w:r>
        <w:rPr>
          <w:rFonts w:hint="eastAsia" w:ascii="宋体" w:hAnsi="宋体" w:eastAsia="宋体" w:cs="宋体"/>
          <w:color w:val="000000"/>
          <w:kern w:val="0"/>
          <w:sz w:val="28"/>
          <w:szCs w:val="28"/>
          <w:lang w:val="en-US" w:eastAsia="zh-CN" w:bidi="ar"/>
        </w:rPr>
        <w:t xml:space="preserve"> 联合审核：</w:t>
      </w:r>
    </w:p>
    <w:p w14:paraId="75BD80EC">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由杭州退役军人教育培训学院与杭州市退役军人事务局相关部门共同进行资格审核，评估确认入驻资格。</w:t>
      </w:r>
    </w:p>
    <w:p w14:paraId="2E56A3EA">
      <w:pPr>
        <w:pageBreakBefore w:val="0"/>
        <w:widowControl/>
        <w:kinsoku/>
        <w:wordWrap/>
        <w:overflowPunct/>
        <w:topLinePunct w:val="0"/>
        <w:autoSpaceDE/>
        <w:autoSpaceDN/>
        <w:bidi w:val="0"/>
        <w:adjustRightInd/>
        <w:snapToGrid/>
        <w:spacing w:after="0" w:line="360" w:lineRule="auto"/>
        <w:ind w:firstLine="562"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b/>
          <w:bCs/>
          <w:sz w:val="28"/>
          <w:szCs w:val="28"/>
          <w:lang w:val="en-US" w:eastAsia="zh-CN"/>
        </w:rPr>
        <w:t>第十条</w:t>
      </w:r>
      <w:r>
        <w:rPr>
          <w:rFonts w:hint="eastAsia" w:ascii="宋体" w:hAnsi="宋体" w:eastAsia="宋体" w:cs="宋体"/>
          <w:color w:val="000000"/>
          <w:kern w:val="0"/>
          <w:sz w:val="28"/>
          <w:szCs w:val="28"/>
          <w:lang w:val="en-US" w:eastAsia="zh-CN" w:bidi="ar"/>
        </w:rPr>
        <w:t xml:space="preserve">  审核通过后，签订《安全管理责任书》等文件。完成手续办理后，入驻企业/团队正式开展服务工作。</w:t>
      </w:r>
    </w:p>
    <w:p w14:paraId="7893DA2C">
      <w:pPr>
        <w:pStyle w:val="3"/>
        <w:pageBreakBefore w:val="0"/>
        <w:widowControl/>
        <w:kinsoku/>
        <w:wordWrap/>
        <w:overflowPunct/>
        <w:topLinePunct w:val="0"/>
        <w:autoSpaceDE/>
        <w:autoSpaceDN/>
        <w:bidi w:val="0"/>
        <w:adjustRightInd/>
        <w:snapToGrid/>
        <w:spacing w:before="0" w:after="0" w:line="360" w:lineRule="auto"/>
        <w:ind w:firstLine="562" w:firstLineChars="200"/>
        <w:jc w:val="center"/>
        <w:textAlignment w:val="auto"/>
        <w:rPr>
          <w:rFonts w:hint="eastAsia" w:ascii="宋体" w:hAnsi="宋体" w:eastAsia="宋体" w:cs="宋体"/>
          <w:sz w:val="28"/>
          <w:szCs w:val="28"/>
        </w:rPr>
      </w:pPr>
      <w:r>
        <w:rPr>
          <w:rFonts w:hint="eastAsia" w:ascii="宋体" w:hAnsi="宋体" w:eastAsia="宋体" w:cs="宋体"/>
          <w:sz w:val="28"/>
          <w:szCs w:val="28"/>
        </w:rPr>
        <w:t>第五章  服务与管理</w:t>
      </w:r>
    </w:p>
    <w:p w14:paraId="5D970FF9">
      <w:pPr>
        <w:pageBreakBefore w:val="0"/>
        <w:widowControl/>
        <w:kinsoku/>
        <w:wordWrap/>
        <w:overflowPunct/>
        <w:topLinePunct w:val="0"/>
        <w:autoSpaceDE/>
        <w:autoSpaceDN/>
        <w:bidi w:val="0"/>
        <w:adjustRightInd/>
        <w:snapToGrid/>
        <w:spacing w:after="0" w:line="360" w:lineRule="auto"/>
        <w:ind w:firstLine="562" w:firstLineChars="200"/>
        <w:textAlignment w:val="auto"/>
        <w:rPr>
          <w:rFonts w:hint="default" w:ascii="宋体" w:hAnsi="宋体" w:eastAsia="宋体" w:cs="宋体"/>
          <w:color w:val="000000"/>
          <w:kern w:val="0"/>
          <w:sz w:val="28"/>
          <w:szCs w:val="28"/>
          <w:lang w:val="en-US" w:eastAsia="zh-CN" w:bidi="ar"/>
        </w:rPr>
      </w:pPr>
      <w:r>
        <w:rPr>
          <w:rFonts w:hint="eastAsia" w:ascii="宋体" w:hAnsi="宋体" w:eastAsia="宋体" w:cs="宋体"/>
          <w:b/>
          <w:bCs/>
          <w:sz w:val="28"/>
          <w:szCs w:val="28"/>
          <w:lang w:val="en-US" w:eastAsia="zh-CN"/>
        </w:rPr>
        <w:t xml:space="preserve">第十一条 </w:t>
      </w:r>
      <w:r>
        <w:rPr>
          <w:rFonts w:hint="eastAsia" w:ascii="宋体" w:hAnsi="宋体" w:eastAsia="宋体" w:cs="宋体"/>
          <w:color w:val="000000"/>
          <w:kern w:val="0"/>
          <w:sz w:val="28"/>
          <w:szCs w:val="28"/>
          <w:lang w:val="en-US" w:eastAsia="zh-CN" w:bidi="ar"/>
        </w:rPr>
        <w:t>基础工位免收租金，但须严格履行公益服务承诺，按照计划完成服务内容。</w:t>
      </w:r>
    </w:p>
    <w:p w14:paraId="53B0FC80">
      <w:pPr>
        <w:pageBreakBefore w:val="0"/>
        <w:widowControl/>
        <w:kinsoku/>
        <w:wordWrap/>
        <w:overflowPunct/>
        <w:topLinePunct w:val="0"/>
        <w:autoSpaceDE/>
        <w:autoSpaceDN/>
        <w:bidi w:val="0"/>
        <w:adjustRightInd/>
        <w:snapToGrid/>
        <w:spacing w:after="0" w:line="360" w:lineRule="auto"/>
        <w:ind w:firstLine="562"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b/>
          <w:bCs/>
          <w:sz w:val="28"/>
          <w:szCs w:val="28"/>
          <w:lang w:val="en-US" w:eastAsia="zh-CN"/>
        </w:rPr>
        <w:t>第十二条</w:t>
      </w:r>
      <w:r>
        <w:rPr>
          <w:rFonts w:hint="eastAsia" w:ascii="宋体" w:hAnsi="宋体" w:eastAsia="宋体" w:cs="宋体"/>
          <w:color w:val="000000"/>
          <w:kern w:val="0"/>
          <w:sz w:val="28"/>
          <w:szCs w:val="28"/>
          <w:lang w:val="en-US" w:eastAsia="zh-CN" w:bidi="ar"/>
        </w:rPr>
        <w:t xml:space="preserve">  配套设施：</w:t>
      </w:r>
    </w:p>
    <w:p w14:paraId="1D725BFF">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共享直播间、共享会议间、培训教室按规定预约使用。</w:t>
      </w:r>
    </w:p>
    <w:p w14:paraId="44D82790">
      <w:pPr>
        <w:pageBreakBefore w:val="0"/>
        <w:widowControl/>
        <w:kinsoku/>
        <w:wordWrap/>
        <w:overflowPunct/>
        <w:topLinePunct w:val="0"/>
        <w:autoSpaceDE/>
        <w:autoSpaceDN/>
        <w:bidi w:val="0"/>
        <w:adjustRightInd/>
        <w:snapToGrid/>
        <w:spacing w:after="0" w:line="360" w:lineRule="auto"/>
        <w:ind w:firstLine="562"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b/>
          <w:bCs/>
          <w:sz w:val="28"/>
          <w:szCs w:val="28"/>
          <w:lang w:val="en-US" w:eastAsia="zh-CN"/>
        </w:rPr>
        <w:t>第十三条</w:t>
      </w:r>
      <w:r>
        <w:rPr>
          <w:rFonts w:hint="eastAsia" w:ascii="宋体" w:hAnsi="宋体" w:eastAsia="宋体" w:cs="宋体"/>
          <w:color w:val="000000"/>
          <w:kern w:val="0"/>
          <w:sz w:val="28"/>
          <w:szCs w:val="28"/>
          <w:lang w:val="en-US" w:eastAsia="zh-CN" w:bidi="ar"/>
        </w:rPr>
        <w:t xml:space="preserve">  日常管理要求：</w:t>
      </w:r>
    </w:p>
    <w:p w14:paraId="0F57108B">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（一）入驻企业须在服务中心实际开展服务工作；</w:t>
      </w:r>
    </w:p>
    <w:p w14:paraId="4ECC7923">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（二）遵守服务中心作息时间，维护公共秩序和环境卫生；</w:t>
      </w:r>
    </w:p>
    <w:p w14:paraId="10CB9540">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（三）爱护公共设施设备，规范使用水电、网络等资源；</w:t>
      </w:r>
    </w:p>
    <w:p w14:paraId="2E162D58">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（四）定期向管理中心报送服务数据、工作进展等材料。</w:t>
      </w:r>
    </w:p>
    <w:p w14:paraId="570504D7">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（五）配合中心检查、考核与工作安排。</w:t>
      </w:r>
    </w:p>
    <w:p w14:paraId="534DF39E">
      <w:pPr>
        <w:pStyle w:val="3"/>
        <w:pageBreakBefore w:val="0"/>
        <w:widowControl/>
        <w:kinsoku/>
        <w:wordWrap/>
        <w:overflowPunct/>
        <w:topLinePunct w:val="0"/>
        <w:autoSpaceDE/>
        <w:autoSpaceDN/>
        <w:bidi w:val="0"/>
        <w:adjustRightInd/>
        <w:snapToGrid/>
        <w:spacing w:before="0" w:after="0" w:line="360" w:lineRule="auto"/>
        <w:ind w:firstLine="562" w:firstLineChars="20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第六章 考核与退出机制</w:t>
      </w:r>
    </w:p>
    <w:p w14:paraId="5D8305E8">
      <w:pPr>
        <w:pageBreakBefore w:val="0"/>
        <w:widowControl/>
        <w:kinsoku/>
        <w:wordWrap/>
        <w:overflowPunct/>
        <w:topLinePunct w:val="0"/>
        <w:autoSpaceDE/>
        <w:autoSpaceDN/>
        <w:bidi w:val="0"/>
        <w:adjustRightInd/>
        <w:snapToGrid/>
        <w:spacing w:after="0" w:line="360" w:lineRule="auto"/>
        <w:ind w:firstLine="562"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b/>
          <w:bCs/>
          <w:sz w:val="28"/>
          <w:szCs w:val="28"/>
          <w:lang w:val="en-US" w:eastAsia="zh-CN"/>
        </w:rPr>
        <w:t>第十四条</w:t>
      </w:r>
      <w:r>
        <w:rPr>
          <w:rFonts w:hint="eastAsia" w:ascii="宋体" w:hAnsi="宋体" w:eastAsia="宋体" w:cs="宋体"/>
          <w:color w:val="000000"/>
          <w:kern w:val="0"/>
          <w:sz w:val="28"/>
          <w:szCs w:val="28"/>
          <w:lang w:val="en-US" w:eastAsia="zh-CN" w:bidi="ar"/>
        </w:rPr>
        <w:t xml:space="preserve"> 年度考核制度</w:t>
      </w:r>
    </w:p>
    <w:p w14:paraId="53081D98">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（一）服务中心每年对入驻企业开展公益服务承诺履约情况年度考核，对照《遴选</w:t>
      </w:r>
      <w:r>
        <w:rPr>
          <w:rFonts w:hint="eastAsia" w:cs="宋体"/>
          <w:color w:val="000000"/>
          <w:kern w:val="0"/>
          <w:sz w:val="28"/>
          <w:szCs w:val="28"/>
          <w:lang w:val="en-US" w:eastAsia="zh-CN" w:bidi="ar"/>
        </w:rPr>
        <w:t>备案</w:t>
      </w:r>
      <w:r>
        <w:rPr>
          <w:rFonts w:hint="eastAsia" w:ascii="宋体" w:hAnsi="宋体" w:eastAsia="宋体" w:cs="宋体"/>
          <w:color w:val="000000"/>
          <w:kern w:val="0"/>
          <w:sz w:val="28"/>
          <w:szCs w:val="28"/>
          <w:lang w:val="en-US" w:eastAsia="zh-CN" w:bidi="ar"/>
        </w:rPr>
        <w:t>申请表》</w:t>
      </w:r>
      <w:r>
        <w:rPr>
          <w:rFonts w:hint="eastAsia" w:cs="宋体"/>
          <w:color w:val="000000"/>
          <w:kern w:val="0"/>
          <w:sz w:val="28"/>
          <w:szCs w:val="28"/>
          <w:lang w:val="en-US" w:eastAsia="zh-CN" w:bidi="ar"/>
        </w:rPr>
        <w:t>、</w:t>
      </w:r>
      <w:r>
        <w:rPr>
          <w:rFonts w:hint="eastAsia" w:ascii="宋体" w:hAnsi="宋体" w:eastAsia="宋体" w:cs="宋体"/>
          <w:color w:val="000000"/>
          <w:kern w:val="0"/>
          <w:sz w:val="28"/>
          <w:szCs w:val="28"/>
          <w:lang w:val="en-US" w:eastAsia="zh-CN" w:bidi="ar"/>
        </w:rPr>
        <w:t>《公益服务承诺书》承诺事项逐项验收。</w:t>
      </w:r>
    </w:p>
    <w:p w14:paraId="210711E5">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（二）考核内容包括：就业岗位提供、技能培训场次、服务退役军人人次、配合中心工作、日常管理遵守情况等。</w:t>
      </w:r>
    </w:p>
    <w:p w14:paraId="712FD48C">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（三）考核结果分为合格、基本合格、不合格三个等次。</w:t>
      </w:r>
    </w:p>
    <w:p w14:paraId="2791338B">
      <w:pPr>
        <w:pageBreakBefore w:val="0"/>
        <w:widowControl/>
        <w:kinsoku/>
        <w:wordWrap/>
        <w:overflowPunct/>
        <w:topLinePunct w:val="0"/>
        <w:autoSpaceDE/>
        <w:autoSpaceDN/>
        <w:bidi w:val="0"/>
        <w:adjustRightInd/>
        <w:snapToGrid/>
        <w:spacing w:after="0" w:line="360" w:lineRule="auto"/>
        <w:ind w:firstLine="562"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b/>
          <w:bCs/>
          <w:sz w:val="28"/>
          <w:szCs w:val="28"/>
          <w:lang w:val="en-US" w:eastAsia="zh-CN"/>
        </w:rPr>
        <w:t>第十五条</w:t>
      </w:r>
      <w:r>
        <w:rPr>
          <w:rFonts w:hint="eastAsia" w:ascii="宋体" w:hAnsi="宋体" w:eastAsia="宋体" w:cs="宋体"/>
          <w:color w:val="000000"/>
          <w:kern w:val="0"/>
          <w:sz w:val="28"/>
          <w:szCs w:val="28"/>
          <w:lang w:val="en-US" w:eastAsia="zh-CN" w:bidi="ar"/>
        </w:rPr>
        <w:t xml:space="preserve"> 考核结果运用</w:t>
      </w:r>
    </w:p>
    <w:p w14:paraId="78C70D46">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（一）合格：可继续入驻，优先享受政策与资源支持。</w:t>
      </w:r>
    </w:p>
    <w:p w14:paraId="7BC43EEA">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（二）基本合格：下达整改通知书，限期 1 个月完成整改。</w:t>
      </w:r>
    </w:p>
    <w:p w14:paraId="5D67BD24">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（三）考核不合格：取消入驻资格，启动退出程序。</w:t>
      </w:r>
    </w:p>
    <w:p w14:paraId="1B244FE9">
      <w:pPr>
        <w:pageBreakBefore w:val="0"/>
        <w:widowControl/>
        <w:kinsoku/>
        <w:wordWrap/>
        <w:overflowPunct/>
        <w:topLinePunct w:val="0"/>
        <w:autoSpaceDE/>
        <w:autoSpaceDN/>
        <w:bidi w:val="0"/>
        <w:adjustRightInd/>
        <w:snapToGrid/>
        <w:spacing w:after="0" w:line="360" w:lineRule="auto"/>
        <w:ind w:firstLine="562"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b/>
          <w:bCs/>
          <w:sz w:val="28"/>
          <w:szCs w:val="28"/>
          <w:lang w:val="en-US" w:eastAsia="zh-CN"/>
        </w:rPr>
        <w:t>第十六条</w:t>
      </w:r>
      <w:r>
        <w:rPr>
          <w:rFonts w:hint="eastAsia" w:ascii="宋体" w:hAnsi="宋体" w:eastAsia="宋体" w:cs="宋体"/>
          <w:color w:val="000000"/>
          <w:kern w:val="0"/>
          <w:sz w:val="28"/>
          <w:szCs w:val="28"/>
          <w:lang w:val="en-US" w:eastAsia="zh-CN" w:bidi="ar"/>
        </w:rPr>
        <w:t xml:space="preserve"> 正常退出</w:t>
      </w:r>
    </w:p>
    <w:p w14:paraId="5CFA9BF0">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企业入驻期满或自愿退出，应提前 30 日提交书面退出申请，结清相关事项，交还场地及设施，完成注销或变更注册地址，办理正式退出手续。</w:t>
      </w:r>
    </w:p>
    <w:p w14:paraId="7640F3AB">
      <w:pPr>
        <w:pageBreakBefore w:val="0"/>
        <w:widowControl/>
        <w:kinsoku/>
        <w:wordWrap/>
        <w:overflowPunct/>
        <w:topLinePunct w:val="0"/>
        <w:autoSpaceDE/>
        <w:autoSpaceDN/>
        <w:bidi w:val="0"/>
        <w:adjustRightInd/>
        <w:snapToGrid/>
        <w:spacing w:after="0" w:line="360" w:lineRule="auto"/>
        <w:ind w:firstLine="562" w:firstLineChars="200"/>
        <w:textAlignment w:val="auto"/>
        <w:rPr>
          <w:rFonts w:hint="eastAsia" w:ascii="宋体" w:hAnsi="宋体" w:eastAsia="宋体" w:cs="宋体"/>
          <w:color w:val="000000"/>
          <w:kern w:val="0"/>
          <w:sz w:val="28"/>
          <w:szCs w:val="28"/>
          <w:lang w:val="en-US" w:eastAsia="zh-CN" w:bidi="ar"/>
        </w:rPr>
      </w:pPr>
      <w:r>
        <w:rPr>
          <w:rFonts w:hint="eastAsia" w:cs="宋体"/>
          <w:b/>
          <w:bCs/>
          <w:color w:val="000000"/>
          <w:kern w:val="0"/>
          <w:sz w:val="28"/>
          <w:szCs w:val="28"/>
          <w:lang w:val="en-US" w:eastAsia="zh-CN" w:bidi="ar"/>
        </w:rPr>
        <w:t>第十七条</w:t>
      </w:r>
      <w:r>
        <w:rPr>
          <w:rFonts w:hint="eastAsia" w:cs="宋体"/>
          <w:color w:val="000000"/>
          <w:kern w:val="0"/>
          <w:sz w:val="28"/>
          <w:szCs w:val="28"/>
          <w:lang w:val="en-US" w:eastAsia="zh-CN" w:bidi="ar"/>
        </w:rPr>
        <w:t xml:space="preserve"> </w:t>
      </w:r>
      <w:r>
        <w:rPr>
          <w:rFonts w:hint="eastAsia" w:ascii="宋体" w:hAnsi="宋体" w:eastAsia="宋体" w:cs="宋体"/>
          <w:color w:val="000000"/>
          <w:kern w:val="0"/>
          <w:sz w:val="28"/>
          <w:szCs w:val="28"/>
          <w:lang w:val="en-US" w:eastAsia="zh-CN" w:bidi="ar"/>
        </w:rPr>
        <w:t>强制退出情形</w:t>
      </w:r>
    </w:p>
    <w:p w14:paraId="4AD7F144">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入驻企业有下列情形之一的，服务中心有权单方终止合作、强制清退，不给予任何补偿：</w:t>
      </w:r>
    </w:p>
    <w:p w14:paraId="1C952599">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（一）年度考核不合格，且限期整改仍未达标；</w:t>
      </w:r>
    </w:p>
    <w:p w14:paraId="5454D1AE">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（二）未履行承诺事项，经 2 次书面提醒仍不整改；</w:t>
      </w:r>
    </w:p>
    <w:p w14:paraId="649779D3">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（三）未按规定使用场地；</w:t>
      </w:r>
    </w:p>
    <w:p w14:paraId="5582CB5E">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（四）违反法律法规、服务中心管理规定、入驻须知内容；</w:t>
      </w:r>
    </w:p>
    <w:p w14:paraId="1C8264B2">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（五）擅自转租、转借、抵押场地或改变公益用途；</w:t>
      </w:r>
    </w:p>
    <w:p w14:paraId="6326DFCE">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（六）拒绝接受考核、不报送服务数据、不配合管理工作；</w:t>
      </w:r>
    </w:p>
    <w:p w14:paraId="7E3CA36C">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（七）其他不适宜继续入驻的情形。</w:t>
      </w:r>
    </w:p>
    <w:p w14:paraId="45D7E5BC">
      <w:pPr>
        <w:pageBreakBefore w:val="0"/>
        <w:widowControl/>
        <w:kinsoku/>
        <w:wordWrap/>
        <w:overflowPunct/>
        <w:topLinePunct w:val="0"/>
        <w:autoSpaceDE/>
        <w:autoSpaceDN/>
        <w:bidi w:val="0"/>
        <w:adjustRightInd/>
        <w:snapToGrid/>
        <w:spacing w:after="0" w:line="360" w:lineRule="auto"/>
        <w:ind w:firstLine="562" w:firstLineChars="200"/>
        <w:textAlignment w:val="auto"/>
        <w:rPr>
          <w:rFonts w:hint="eastAsia" w:ascii="宋体" w:hAnsi="宋体" w:eastAsia="宋体" w:cs="宋体"/>
          <w:color w:val="000000"/>
          <w:kern w:val="0"/>
          <w:sz w:val="28"/>
          <w:szCs w:val="28"/>
          <w:lang w:val="en-US" w:eastAsia="zh-CN" w:bidi="ar"/>
        </w:rPr>
      </w:pPr>
      <w:r>
        <w:rPr>
          <w:rFonts w:hint="eastAsia" w:cs="宋体"/>
          <w:b/>
          <w:bCs/>
          <w:color w:val="000000"/>
          <w:kern w:val="0"/>
          <w:sz w:val="28"/>
          <w:szCs w:val="28"/>
          <w:lang w:val="en-US" w:eastAsia="zh-CN" w:bidi="ar"/>
        </w:rPr>
        <w:t>第十八条</w:t>
      </w:r>
      <w:r>
        <w:rPr>
          <w:rFonts w:hint="eastAsia" w:ascii="宋体" w:hAnsi="宋体" w:eastAsia="宋体" w:cs="宋体"/>
          <w:color w:val="000000"/>
          <w:kern w:val="0"/>
          <w:sz w:val="28"/>
          <w:szCs w:val="28"/>
          <w:lang w:val="en-US" w:eastAsia="zh-CN" w:bidi="ar"/>
        </w:rPr>
        <w:t xml:space="preserve"> 拒不退出的约束措施 </w:t>
      </w:r>
    </w:p>
    <w:p w14:paraId="384105F3">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对应当退出但拒不搬离、拒不配合清退的企业，服务中心有权采取以下措施：</w:t>
      </w:r>
    </w:p>
    <w:p w14:paraId="05BB636C">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（一）停止提供场地、水电、网络及一切配套服务；</w:t>
      </w:r>
    </w:p>
    <w:p w14:paraId="3CCC8F37">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（二）收回工位及公共设施使用权，处置遗留物品；</w:t>
      </w:r>
    </w:p>
    <w:p w14:paraId="2A559BDC">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（三）将企业履约情况报送市局相关部门，纳入合作黑名单；</w:t>
      </w:r>
    </w:p>
    <w:p w14:paraId="2B5CE89D">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（四）依法追究相关责任，由此产生的一切后果与费用由企业自行承担。</w:t>
      </w:r>
    </w:p>
    <w:p w14:paraId="49FCA35F">
      <w:pPr>
        <w:pStyle w:val="3"/>
        <w:pageBreakBefore w:val="0"/>
        <w:widowControl/>
        <w:kinsoku/>
        <w:wordWrap/>
        <w:overflowPunct/>
        <w:topLinePunct w:val="0"/>
        <w:autoSpaceDE/>
        <w:autoSpaceDN/>
        <w:bidi w:val="0"/>
        <w:adjustRightInd/>
        <w:snapToGrid/>
        <w:spacing w:before="0" w:after="0" w:line="360" w:lineRule="auto"/>
        <w:ind w:firstLine="562" w:firstLineChars="200"/>
        <w:jc w:val="center"/>
        <w:textAlignment w:val="auto"/>
        <w:rPr>
          <w:rFonts w:hint="eastAsia" w:ascii="宋体" w:hAnsi="宋体" w:eastAsia="宋体" w:cs="宋体"/>
          <w:sz w:val="28"/>
          <w:szCs w:val="28"/>
        </w:rPr>
      </w:pPr>
      <w:r>
        <w:rPr>
          <w:rFonts w:hint="eastAsia" w:ascii="宋体" w:hAnsi="宋体" w:eastAsia="宋体" w:cs="宋体"/>
          <w:sz w:val="28"/>
          <w:szCs w:val="28"/>
        </w:rPr>
        <w:t>第七章  安全管理</w:t>
      </w:r>
    </w:p>
    <w:p w14:paraId="4DF2ECD4">
      <w:pPr>
        <w:pageBreakBefore w:val="0"/>
        <w:widowControl/>
        <w:kinsoku/>
        <w:wordWrap/>
        <w:overflowPunct/>
        <w:topLinePunct w:val="0"/>
        <w:autoSpaceDE/>
        <w:autoSpaceDN/>
        <w:bidi w:val="0"/>
        <w:adjustRightInd/>
        <w:snapToGrid/>
        <w:spacing w:after="0" w:line="360" w:lineRule="auto"/>
        <w:ind w:firstLine="562" w:firstLineChars="200"/>
        <w:textAlignment w:val="auto"/>
        <w:rPr>
          <w:rFonts w:hint="eastAsia" w:ascii="宋体" w:hAnsi="宋体" w:eastAsia="宋体" w:cs="宋体"/>
          <w:color w:val="000000"/>
          <w:kern w:val="0"/>
          <w:sz w:val="28"/>
          <w:szCs w:val="28"/>
          <w:lang w:val="en-US" w:eastAsia="zh-CN" w:bidi="ar"/>
        </w:rPr>
      </w:pPr>
      <w:r>
        <w:rPr>
          <w:rFonts w:hint="eastAsia" w:cs="宋体"/>
          <w:b/>
          <w:bCs/>
          <w:color w:val="000000"/>
          <w:kern w:val="0"/>
          <w:sz w:val="28"/>
          <w:szCs w:val="28"/>
          <w:lang w:val="en-US" w:eastAsia="zh-CN" w:bidi="ar"/>
        </w:rPr>
        <w:t>第十九条</w:t>
      </w:r>
      <w:r>
        <w:rPr>
          <w:rFonts w:hint="eastAsia" w:ascii="宋体" w:hAnsi="宋体" w:eastAsia="宋体" w:cs="宋体"/>
          <w:color w:val="000000"/>
          <w:kern w:val="0"/>
          <w:sz w:val="28"/>
          <w:szCs w:val="28"/>
          <w:lang w:val="en-US" w:eastAsia="zh-CN" w:bidi="ar"/>
        </w:rPr>
        <w:t xml:space="preserve">  入驻企业法人为安全第一责任人，落实安全责任，确保人员及财产安全。</w:t>
      </w:r>
    </w:p>
    <w:p w14:paraId="45EBD20C">
      <w:pPr>
        <w:pageBreakBefore w:val="0"/>
        <w:widowControl/>
        <w:kinsoku/>
        <w:wordWrap/>
        <w:overflowPunct/>
        <w:topLinePunct w:val="0"/>
        <w:autoSpaceDE/>
        <w:autoSpaceDN/>
        <w:bidi w:val="0"/>
        <w:adjustRightInd/>
        <w:snapToGrid/>
        <w:spacing w:after="0" w:line="360" w:lineRule="auto"/>
        <w:ind w:firstLine="562"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第二十条</w:t>
      </w:r>
      <w:r>
        <w:rPr>
          <w:rFonts w:hint="eastAsia" w:ascii="宋体" w:hAnsi="宋体" w:eastAsia="宋体" w:cs="宋体"/>
          <w:color w:val="000000"/>
          <w:kern w:val="0"/>
          <w:sz w:val="28"/>
          <w:szCs w:val="28"/>
          <w:lang w:val="en-US" w:eastAsia="zh-CN" w:bidi="ar"/>
        </w:rPr>
        <w:t xml:space="preserve">  严禁使用明火、大功率电器，严禁私拉乱接电线，做好防火、防盗、防触电工作。</w:t>
      </w:r>
    </w:p>
    <w:p w14:paraId="3B8E9558">
      <w:pPr>
        <w:pageBreakBefore w:val="0"/>
        <w:widowControl/>
        <w:kinsoku/>
        <w:wordWrap/>
        <w:overflowPunct/>
        <w:topLinePunct w:val="0"/>
        <w:autoSpaceDE/>
        <w:autoSpaceDN/>
        <w:bidi w:val="0"/>
        <w:adjustRightInd/>
        <w:snapToGrid/>
        <w:spacing w:after="0" w:line="360" w:lineRule="auto"/>
        <w:ind w:firstLine="562"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第二十一条</w:t>
      </w:r>
      <w:r>
        <w:rPr>
          <w:rFonts w:hint="eastAsia" w:ascii="宋体" w:hAnsi="宋体" w:eastAsia="宋体" w:cs="宋体"/>
          <w:color w:val="000000"/>
          <w:kern w:val="0"/>
          <w:sz w:val="28"/>
          <w:szCs w:val="28"/>
          <w:lang w:val="en-US" w:eastAsia="zh-CN" w:bidi="ar"/>
        </w:rPr>
        <w:t xml:space="preserve">  严禁在服务中心内从事违法违规、危害公共安全的活动。</w:t>
      </w:r>
    </w:p>
    <w:p w14:paraId="05C50719">
      <w:pPr>
        <w:pStyle w:val="3"/>
        <w:pageBreakBefore w:val="0"/>
        <w:widowControl/>
        <w:kinsoku/>
        <w:wordWrap/>
        <w:overflowPunct/>
        <w:topLinePunct w:val="0"/>
        <w:autoSpaceDE/>
        <w:autoSpaceDN/>
        <w:bidi w:val="0"/>
        <w:adjustRightInd/>
        <w:snapToGrid/>
        <w:spacing w:before="0" w:after="0" w:line="360" w:lineRule="auto"/>
        <w:ind w:firstLine="562" w:firstLineChars="200"/>
        <w:jc w:val="center"/>
        <w:textAlignment w:val="auto"/>
        <w:rPr>
          <w:rFonts w:hint="eastAsia" w:ascii="宋体" w:hAnsi="宋体" w:eastAsia="宋体" w:cs="宋体"/>
          <w:sz w:val="28"/>
          <w:szCs w:val="28"/>
        </w:rPr>
      </w:pPr>
      <w:r>
        <w:rPr>
          <w:rFonts w:hint="eastAsia" w:ascii="宋体" w:hAnsi="宋体" w:eastAsia="宋体" w:cs="宋体"/>
          <w:sz w:val="28"/>
          <w:szCs w:val="28"/>
        </w:rPr>
        <w:t>第八章  附则</w:t>
      </w:r>
    </w:p>
    <w:p w14:paraId="1809D5EA">
      <w:pPr>
        <w:pageBreakBefore w:val="0"/>
        <w:widowControl/>
        <w:kinsoku/>
        <w:wordWrap/>
        <w:overflowPunct/>
        <w:topLinePunct w:val="0"/>
        <w:autoSpaceDE/>
        <w:autoSpaceDN/>
        <w:bidi w:val="0"/>
        <w:adjustRightInd/>
        <w:snapToGrid/>
        <w:spacing w:after="0" w:line="360" w:lineRule="auto"/>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第二十</w:t>
      </w:r>
      <w:r>
        <w:rPr>
          <w:rFonts w:hint="eastAsia" w:cs="宋体"/>
          <w:b/>
          <w:bCs/>
          <w:sz w:val="28"/>
          <w:szCs w:val="28"/>
          <w:lang w:eastAsia="zh-CN"/>
        </w:rPr>
        <w:t>二</w:t>
      </w:r>
      <w:r>
        <w:rPr>
          <w:rFonts w:hint="eastAsia" w:ascii="宋体" w:hAnsi="宋体" w:eastAsia="宋体" w:cs="宋体"/>
          <w:b/>
          <w:bCs/>
          <w:sz w:val="28"/>
          <w:szCs w:val="28"/>
        </w:rPr>
        <w:t>条</w:t>
      </w:r>
      <w:r>
        <w:rPr>
          <w:rFonts w:hint="eastAsia" w:ascii="宋体" w:hAnsi="宋体" w:eastAsia="宋体" w:cs="宋体"/>
          <w:sz w:val="28"/>
          <w:szCs w:val="28"/>
        </w:rPr>
        <w:t xml:space="preserve">  本办法由杭州</w:t>
      </w:r>
      <w:r>
        <w:rPr>
          <w:rFonts w:hint="eastAsia" w:cs="宋体"/>
          <w:sz w:val="28"/>
          <w:szCs w:val="28"/>
          <w:lang w:val="en-US" w:eastAsia="zh-CN"/>
        </w:rPr>
        <w:t>退役军人教育培训学院</w:t>
      </w:r>
      <w:r>
        <w:rPr>
          <w:rFonts w:hint="eastAsia" w:ascii="宋体" w:hAnsi="宋体" w:eastAsia="宋体" w:cs="宋体"/>
          <w:sz w:val="28"/>
          <w:szCs w:val="28"/>
        </w:rPr>
        <w:t>负责解释。</w:t>
      </w:r>
    </w:p>
    <w:p w14:paraId="7ECDC6A3">
      <w:pPr>
        <w:pageBreakBefore w:val="0"/>
        <w:widowControl/>
        <w:kinsoku/>
        <w:wordWrap/>
        <w:overflowPunct/>
        <w:topLinePunct w:val="0"/>
        <w:autoSpaceDE/>
        <w:autoSpaceDN/>
        <w:bidi w:val="0"/>
        <w:adjustRightInd/>
        <w:snapToGrid/>
        <w:spacing w:after="0" w:line="360" w:lineRule="auto"/>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第二十</w:t>
      </w:r>
      <w:r>
        <w:rPr>
          <w:rFonts w:hint="eastAsia" w:cs="宋体"/>
          <w:b/>
          <w:bCs/>
          <w:sz w:val="28"/>
          <w:szCs w:val="28"/>
          <w:lang w:eastAsia="zh-CN"/>
        </w:rPr>
        <w:t>三</w:t>
      </w:r>
      <w:r>
        <w:rPr>
          <w:rFonts w:hint="eastAsia" w:ascii="宋体" w:hAnsi="宋体" w:eastAsia="宋体" w:cs="宋体"/>
          <w:b/>
          <w:bCs/>
          <w:sz w:val="28"/>
          <w:szCs w:val="28"/>
        </w:rPr>
        <w:t xml:space="preserve">条 </w:t>
      </w:r>
      <w:r>
        <w:rPr>
          <w:rFonts w:hint="eastAsia" w:ascii="宋体" w:hAnsi="宋体" w:eastAsia="宋体" w:cs="宋体"/>
          <w:sz w:val="28"/>
          <w:szCs w:val="28"/>
        </w:rPr>
        <w:t xml:space="preserve"> 本办法自发布之日起施行。</w:t>
      </w:r>
    </w:p>
    <w:p w14:paraId="0671DA02">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sz w:val="28"/>
          <w:szCs w:val="28"/>
        </w:rPr>
      </w:pPr>
    </w:p>
    <w:p w14:paraId="48D190EA">
      <w:pPr>
        <w:pageBreakBefore w:val="0"/>
        <w:widowControl/>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sz w:val="28"/>
          <w:szCs w:val="28"/>
        </w:rPr>
      </w:pPr>
    </w:p>
    <w:p w14:paraId="12A82446">
      <w:pPr>
        <w:pageBreakBefore w:val="0"/>
        <w:widowControl/>
        <w:kinsoku/>
        <w:wordWrap/>
        <w:overflowPunct/>
        <w:topLinePunct w:val="0"/>
        <w:autoSpaceDE/>
        <w:autoSpaceDN/>
        <w:bidi w:val="0"/>
        <w:adjustRightInd/>
        <w:snapToGrid/>
        <w:spacing w:after="0" w:line="360" w:lineRule="auto"/>
        <w:ind w:firstLine="560" w:firstLineChars="200"/>
        <w:jc w:val="right"/>
        <w:textAlignment w:val="auto"/>
        <w:rPr>
          <w:rFonts w:hint="default" w:ascii="宋体" w:hAnsi="宋体" w:eastAsia="宋体" w:cs="宋体"/>
          <w:sz w:val="28"/>
          <w:szCs w:val="28"/>
          <w:lang w:val="en-US" w:eastAsia="zh-CN"/>
        </w:rPr>
      </w:pPr>
      <w:r>
        <w:rPr>
          <w:rFonts w:hint="eastAsia" w:cs="宋体"/>
          <w:sz w:val="28"/>
          <w:szCs w:val="28"/>
          <w:lang w:val="en-US" w:eastAsia="zh-CN"/>
        </w:rPr>
        <w:t>杭州退役军人教育培训学院</w:t>
      </w:r>
    </w:p>
    <w:p w14:paraId="20E4AF28">
      <w:pPr>
        <w:pageBreakBefore w:val="0"/>
        <w:widowControl/>
        <w:kinsoku/>
        <w:wordWrap/>
        <w:overflowPunct/>
        <w:topLinePunct w:val="0"/>
        <w:autoSpaceDE/>
        <w:autoSpaceDN/>
        <w:bidi w:val="0"/>
        <w:adjustRightInd/>
        <w:snapToGrid/>
        <w:spacing w:after="0" w:line="360" w:lineRule="auto"/>
        <w:ind w:firstLine="560" w:firstLineChars="200"/>
        <w:jc w:val="center"/>
        <w:textAlignment w:val="auto"/>
        <w:rPr>
          <w:rFonts w:hint="eastAsia" w:ascii="宋体" w:hAnsi="宋体" w:eastAsia="宋体" w:cs="宋体"/>
          <w:sz w:val="28"/>
          <w:szCs w:val="28"/>
        </w:rPr>
      </w:pPr>
      <w:r>
        <w:rPr>
          <w:rFonts w:hint="eastAsia" w:cs="宋体"/>
          <w:sz w:val="28"/>
          <w:szCs w:val="28"/>
          <w:lang w:val="en-US" w:eastAsia="zh-CN"/>
        </w:rPr>
        <w:t xml:space="preserve">                               </w:t>
      </w:r>
      <w:r>
        <w:rPr>
          <w:rFonts w:hint="eastAsia" w:ascii="宋体" w:hAnsi="宋体" w:eastAsia="宋体" w:cs="宋体"/>
          <w:sz w:val="28"/>
          <w:szCs w:val="28"/>
        </w:rPr>
        <w:t>2026年</w:t>
      </w:r>
      <w:r>
        <w:rPr>
          <w:rFonts w:hint="eastAsia" w:cs="宋体"/>
          <w:sz w:val="28"/>
          <w:szCs w:val="28"/>
          <w:lang w:val="en-US" w:eastAsia="zh-CN"/>
        </w:rPr>
        <w:t>6</w:t>
      </w:r>
      <w:r>
        <w:rPr>
          <w:rFonts w:hint="eastAsia" w:ascii="宋体" w:hAnsi="宋体" w:eastAsia="宋体" w:cs="宋体"/>
          <w:sz w:val="28"/>
          <w:szCs w:val="28"/>
        </w:rPr>
        <w:t>月</w:t>
      </w:r>
      <w:bookmarkStart w:id="0" w:name="_GoBack"/>
      <w:bookmarkEnd w:id="0"/>
    </w:p>
    <w:sectPr>
      <w:pgSz w:w="12240" w:h="15840"/>
      <w:pgMar w:top="1440" w:right="1689" w:bottom="1440" w:left="1689"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font>
  <w:font w:name="MS Gothic">
    <w:panose1 w:val="020B0609070205080204"/>
    <w:charset w:val="80"/>
    <w:family w:val="auto"/>
    <w:pitch w:val="default"/>
    <w:sig w:usb0="E00002FF" w:usb1="6AC7FDFB" w:usb2="00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MS Mincho">
    <w:panose1 w:val="02020609040205080304"/>
    <w:charset w:val="80"/>
    <w:family w:val="auto"/>
    <w:pitch w:val="default"/>
    <w:sig w:usb0="E00002FF" w:usb1="6AC7FDFB" w:usb2="00000012" w:usb3="00000000" w:csb0="4002009F" w:csb1="DFD70000"/>
  </w:font>
  <w:font w:name="Cambria">
    <w:panose1 w:val="02040503050406030204"/>
    <w:charset w:val="00"/>
    <w:family w:val="auto"/>
    <w:pitch w:val="default"/>
    <w:sig w:usb0="E00002FF" w:usb1="400004FF" w:usb2="00000000" w:usb3="00000000" w:csb0="2000019F" w:csb1="00000000"/>
  </w:font>
  <w:font w:name="方正公文小标宋">
    <w:panose1 w:val="02000500000000000000"/>
    <w:charset w:val="86"/>
    <w:family w:val="auto"/>
    <w:pitch w:val="default"/>
    <w:sig w:usb0="A00002BF" w:usb1="38CF7CFA" w:usb2="00000016" w:usb3="00000000" w:csb0="00040001" w:csb1="00000000"/>
    <w:embedRegular r:id="rId1" w:fontKey="{9413EB85-3588-49C0-ACBD-DCB8D98460B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65F5BAD"/>
    <w:rsid w:val="081A464B"/>
    <w:rsid w:val="0B8017E0"/>
    <w:rsid w:val="0DBF5683"/>
    <w:rsid w:val="1A4E29AD"/>
    <w:rsid w:val="3F413E50"/>
    <w:rsid w:val="4A2C39A6"/>
    <w:rsid w:val="63535658"/>
    <w:rsid w:val="68752EA0"/>
    <w:rsid w:val="6A717588"/>
    <w:rsid w:val="752E07E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1997</Words>
  <Characters>2007</Characters>
  <Lines>0</Lines>
  <Paragraphs>0</Paragraphs>
  <TotalTime>1</TotalTime>
  <ScaleCrop>false</ScaleCrop>
  <LinksUpToDate>false</LinksUpToDate>
  <CharactersWithSpaces>2106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Ann</cp:lastModifiedBy>
  <dcterms:modified xsi:type="dcterms:W3CDTF">2026-06-12T06:58:53Z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eyJoZGlkIjoiNDMzZWQ4NjE5YTYwODQwZTY1NGY1MTU2YmI4N2RiOGIiLCJ1c2VySWQiOiI0NTM4NTA1ODgifQ==</vt:lpwstr>
  </property>
  <property fmtid="{D5CDD505-2E9C-101B-9397-08002B2CF9AE}" pid="3" name="KSOProductBuildVer">
    <vt:lpwstr>2052-12.1.0.26895</vt:lpwstr>
  </property>
  <property fmtid="{D5CDD505-2E9C-101B-9397-08002B2CF9AE}" pid="4" name="ICV">
    <vt:lpwstr>67C9447A1B084879A822F3A3E913C011_12</vt:lpwstr>
  </property>
</Properties>
</file>