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hint="eastAsia" w:ascii="黑体" w:hAnsi="黑体" w:eastAsia="黑体" w:cs="黑体"/>
          <w:sz w:val="32"/>
          <w:szCs w:val="32"/>
        </w:rPr>
      </w:pPr>
      <w:bookmarkStart w:id="0" w:name="_GoBack"/>
      <w:r>
        <w:rPr>
          <w:rFonts w:hint="eastAsia" w:ascii="黑体" w:hAnsi="黑体" w:eastAsia="黑体" w:cs="黑体"/>
          <w:sz w:val="32"/>
          <w:szCs w:val="32"/>
        </w:rPr>
        <w:t>附件1</w:t>
      </w:r>
    </w:p>
    <w:bookmarkEnd w:id="0"/>
    <w:p>
      <w:pPr>
        <w:spacing w:line="600" w:lineRule="exact"/>
        <w:jc w:val="center"/>
        <w:rPr>
          <w:rFonts w:ascii="方正小标宋简体" w:eastAsia="方正小标宋简体"/>
          <w:sz w:val="44"/>
          <w:szCs w:val="44"/>
        </w:rPr>
      </w:pPr>
      <w:r>
        <w:rPr>
          <w:rFonts w:hint="eastAsia" w:ascii="方正小标宋简体" w:eastAsia="方正小标宋简体"/>
          <w:sz w:val="44"/>
          <w:szCs w:val="44"/>
        </w:rPr>
        <w:t>2</w:t>
      </w:r>
      <w:r>
        <w:rPr>
          <w:rFonts w:ascii="方正小标宋简体" w:eastAsia="方正小标宋简体"/>
          <w:sz w:val="44"/>
          <w:szCs w:val="44"/>
        </w:rPr>
        <w:t>024</w:t>
      </w:r>
      <w:r>
        <w:rPr>
          <w:rFonts w:hint="eastAsia" w:ascii="方正小标宋简体" w:eastAsia="方正小标宋简体"/>
          <w:sz w:val="44"/>
          <w:szCs w:val="44"/>
        </w:rPr>
        <w:t>年度杭州市农业和社会发展领域</w:t>
      </w:r>
    </w:p>
    <w:p>
      <w:pPr>
        <w:spacing w:line="600" w:lineRule="exact"/>
        <w:jc w:val="center"/>
        <w:rPr>
          <w:rFonts w:ascii="方正小标宋简体" w:eastAsia="方正小标宋简体"/>
          <w:sz w:val="44"/>
          <w:szCs w:val="44"/>
        </w:rPr>
      </w:pPr>
      <w:r>
        <w:rPr>
          <w:rFonts w:hint="eastAsia" w:ascii="方正小标宋简体" w:eastAsia="方正小标宋简体"/>
          <w:sz w:val="44"/>
          <w:szCs w:val="44"/>
        </w:rPr>
        <w:t>重点科研计划项目榜单清单</w:t>
      </w:r>
    </w:p>
    <w:p>
      <w:pPr>
        <w:spacing w:line="600" w:lineRule="exact"/>
        <w:jc w:val="left"/>
        <w:rPr>
          <w:rFonts w:ascii="仿宋_GB2312" w:eastAsia="仿宋_GB2312"/>
          <w:sz w:val="32"/>
          <w:szCs w:val="32"/>
        </w:rPr>
      </w:pPr>
    </w:p>
    <w:tbl>
      <w:tblPr>
        <w:tblStyle w:val="6"/>
        <w:tblW w:w="84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76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pPr>
              <w:spacing w:line="520" w:lineRule="exact"/>
              <w:jc w:val="center"/>
              <w:rPr>
                <w:rFonts w:ascii="黑体" w:hAnsi="黑体" w:eastAsia="黑体"/>
                <w:kern w:val="0"/>
                <w:sz w:val="24"/>
                <w:szCs w:val="24"/>
              </w:rPr>
            </w:pPr>
            <w:r>
              <w:rPr>
                <w:rFonts w:hint="eastAsia" w:ascii="黑体" w:hAnsi="黑体" w:eastAsia="黑体"/>
                <w:kern w:val="0"/>
                <w:sz w:val="24"/>
                <w:szCs w:val="24"/>
              </w:rPr>
              <w:t>序号</w:t>
            </w:r>
          </w:p>
        </w:tc>
        <w:tc>
          <w:tcPr>
            <w:tcW w:w="7626" w:type="dxa"/>
            <w:vAlign w:val="center"/>
          </w:tcPr>
          <w:p>
            <w:pPr>
              <w:spacing w:line="520" w:lineRule="exact"/>
              <w:jc w:val="center"/>
              <w:rPr>
                <w:rFonts w:ascii="黑体" w:hAnsi="黑体" w:eastAsia="黑体"/>
                <w:kern w:val="0"/>
                <w:sz w:val="24"/>
                <w:szCs w:val="24"/>
              </w:rPr>
            </w:pPr>
            <w:r>
              <w:rPr>
                <w:rFonts w:hint="eastAsia" w:ascii="黑体" w:hAnsi="黑体" w:eastAsia="黑体"/>
                <w:kern w:val="0"/>
                <w:sz w:val="24"/>
                <w:szCs w:val="24"/>
              </w:rPr>
              <w:t>榜单名称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2" w:type="dxa"/>
            <w:gridSpan w:val="2"/>
            <w:vAlign w:val="center"/>
          </w:tcPr>
          <w:p>
            <w:pPr>
              <w:spacing w:line="520" w:lineRule="exact"/>
              <w:rPr>
                <w:rFonts w:ascii="楷体_GB2312" w:eastAsia="楷体_GB2312"/>
                <w:kern w:val="0"/>
                <w:sz w:val="24"/>
                <w:szCs w:val="24"/>
              </w:rPr>
            </w:pPr>
            <w:r>
              <w:rPr>
                <w:rFonts w:hint="eastAsia" w:ascii="楷体_GB2312" w:eastAsia="楷体_GB2312"/>
                <w:kern w:val="0"/>
                <w:sz w:val="24"/>
                <w:szCs w:val="24"/>
              </w:rPr>
              <w:t>农业领域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spacing w:line="520" w:lineRule="exact"/>
              <w:jc w:val="center"/>
              <w:rPr>
                <w:rFonts w:ascii="仿宋_GB2312" w:eastAsia="仿宋_GB2312"/>
                <w:kern w:val="0"/>
                <w:sz w:val="24"/>
                <w:szCs w:val="24"/>
              </w:rPr>
            </w:pPr>
            <w:r>
              <w:rPr>
                <w:rFonts w:ascii="仿宋_GB2312" w:eastAsia="仿宋_GB2312"/>
                <w:kern w:val="0"/>
                <w:sz w:val="24"/>
                <w:szCs w:val="24"/>
              </w:rPr>
              <w:t>1</w:t>
            </w:r>
          </w:p>
        </w:tc>
        <w:tc>
          <w:tcPr>
            <w:tcW w:w="7626" w:type="dxa"/>
          </w:tcPr>
          <w:p>
            <w:pPr>
              <w:spacing w:line="520" w:lineRule="exact"/>
              <w:jc w:val="left"/>
              <w:rPr>
                <w:rFonts w:ascii="仿宋_GB2312" w:eastAsia="仿宋_GB2312"/>
                <w:kern w:val="0"/>
                <w:sz w:val="24"/>
                <w:szCs w:val="24"/>
              </w:rPr>
            </w:pPr>
            <w:r>
              <w:rPr>
                <w:rFonts w:hint="eastAsia" w:ascii="仿宋_GB2312" w:eastAsia="仿宋_GB2312"/>
                <w:kern w:val="0"/>
                <w:sz w:val="24"/>
                <w:szCs w:val="24"/>
              </w:rPr>
              <w:t>丘陵山区果园风送式喷雾器机器人研发及应用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6" w:type="dxa"/>
          </w:tcPr>
          <w:p>
            <w:pPr>
              <w:spacing w:line="520" w:lineRule="exact"/>
              <w:jc w:val="center"/>
              <w:rPr>
                <w:rFonts w:ascii="仿宋_GB2312" w:eastAsia="仿宋_GB2312"/>
                <w:kern w:val="0"/>
                <w:sz w:val="24"/>
                <w:szCs w:val="24"/>
              </w:rPr>
            </w:pPr>
            <w:r>
              <w:rPr>
                <w:rFonts w:ascii="仿宋_GB2312" w:eastAsia="仿宋_GB2312"/>
                <w:kern w:val="0"/>
                <w:sz w:val="24"/>
                <w:szCs w:val="24"/>
              </w:rPr>
              <w:t>2</w:t>
            </w:r>
          </w:p>
        </w:tc>
        <w:tc>
          <w:tcPr>
            <w:tcW w:w="7626" w:type="dxa"/>
          </w:tcPr>
          <w:p>
            <w:pPr>
              <w:spacing w:line="520" w:lineRule="exact"/>
              <w:jc w:val="left"/>
              <w:rPr>
                <w:rFonts w:ascii="仿宋_GB2312" w:eastAsia="仿宋_GB2312"/>
                <w:kern w:val="0"/>
                <w:sz w:val="24"/>
                <w:szCs w:val="24"/>
              </w:rPr>
            </w:pPr>
            <w:r>
              <w:rPr>
                <w:rFonts w:hint="eastAsia" w:ascii="仿宋_GB2312" w:eastAsia="仿宋_GB2312"/>
                <w:kern w:val="0"/>
                <w:sz w:val="24"/>
                <w:szCs w:val="24"/>
              </w:rPr>
              <w:t>杭州特色水生植物淀粉基减肥食品创制与示范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spacing w:line="520" w:lineRule="exact"/>
              <w:jc w:val="center"/>
              <w:rPr>
                <w:rFonts w:ascii="仿宋_GB2312" w:eastAsia="仿宋_GB2312"/>
                <w:kern w:val="0"/>
                <w:sz w:val="24"/>
                <w:szCs w:val="24"/>
              </w:rPr>
            </w:pPr>
            <w:r>
              <w:rPr>
                <w:rFonts w:ascii="仿宋_GB2312" w:eastAsia="仿宋_GB2312"/>
                <w:kern w:val="0"/>
                <w:sz w:val="24"/>
                <w:szCs w:val="24"/>
              </w:rPr>
              <w:t>3</w:t>
            </w:r>
          </w:p>
        </w:tc>
        <w:tc>
          <w:tcPr>
            <w:tcW w:w="7626" w:type="dxa"/>
          </w:tcPr>
          <w:p>
            <w:pPr>
              <w:spacing w:line="520" w:lineRule="exact"/>
              <w:jc w:val="left"/>
              <w:rPr>
                <w:rFonts w:ascii="仿宋_GB2312" w:eastAsia="仿宋_GB2312"/>
                <w:kern w:val="0"/>
                <w:sz w:val="24"/>
                <w:szCs w:val="24"/>
              </w:rPr>
            </w:pPr>
            <w:r>
              <w:rPr>
                <w:rFonts w:hint="eastAsia" w:ascii="仿宋_GB2312" w:eastAsia="仿宋_GB2312"/>
                <w:kern w:val="0"/>
                <w:sz w:val="24"/>
                <w:szCs w:val="24"/>
              </w:rPr>
              <w:t>药食兼用资源中药材增值加工和产品创制关键技术应用及示范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spacing w:line="520" w:lineRule="exact"/>
              <w:jc w:val="center"/>
              <w:rPr>
                <w:rFonts w:ascii="仿宋_GB2312" w:eastAsia="仿宋_GB2312"/>
                <w:kern w:val="0"/>
                <w:sz w:val="24"/>
                <w:szCs w:val="24"/>
              </w:rPr>
            </w:pPr>
            <w:r>
              <w:rPr>
                <w:rFonts w:ascii="仿宋_GB2312" w:eastAsia="仿宋_GB2312"/>
                <w:kern w:val="0"/>
                <w:sz w:val="24"/>
                <w:szCs w:val="24"/>
              </w:rPr>
              <w:t>4</w:t>
            </w:r>
          </w:p>
        </w:tc>
        <w:tc>
          <w:tcPr>
            <w:tcW w:w="7626" w:type="dxa"/>
          </w:tcPr>
          <w:p>
            <w:pPr>
              <w:spacing w:line="520" w:lineRule="exact"/>
              <w:jc w:val="left"/>
              <w:rPr>
                <w:rFonts w:ascii="仿宋_GB2312" w:eastAsia="仿宋_GB2312"/>
                <w:kern w:val="0"/>
                <w:sz w:val="24"/>
                <w:szCs w:val="24"/>
              </w:rPr>
            </w:pPr>
            <w:r>
              <w:rPr>
                <w:rFonts w:hint="eastAsia" w:ascii="仿宋_GB2312" w:eastAsia="仿宋_GB2312"/>
                <w:kern w:val="0"/>
                <w:sz w:val="24"/>
                <w:szCs w:val="24"/>
              </w:rPr>
              <w:t>籼粳杂交稻新品种培育及全程机械化制种技术研究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spacing w:line="520" w:lineRule="exact"/>
              <w:jc w:val="center"/>
              <w:rPr>
                <w:rFonts w:ascii="仿宋_GB2312" w:eastAsia="仿宋_GB2312"/>
                <w:kern w:val="0"/>
                <w:sz w:val="24"/>
                <w:szCs w:val="24"/>
              </w:rPr>
            </w:pPr>
            <w:r>
              <w:rPr>
                <w:rFonts w:ascii="仿宋_GB2312" w:eastAsia="仿宋_GB2312"/>
                <w:kern w:val="0"/>
                <w:sz w:val="24"/>
                <w:szCs w:val="24"/>
              </w:rPr>
              <w:t>5</w:t>
            </w:r>
          </w:p>
        </w:tc>
        <w:tc>
          <w:tcPr>
            <w:tcW w:w="7626" w:type="dxa"/>
          </w:tcPr>
          <w:p>
            <w:pPr>
              <w:spacing w:line="520" w:lineRule="exact"/>
              <w:jc w:val="left"/>
              <w:rPr>
                <w:rFonts w:ascii="仿宋_GB2312" w:eastAsia="仿宋_GB2312"/>
                <w:kern w:val="0"/>
                <w:sz w:val="24"/>
                <w:szCs w:val="24"/>
              </w:rPr>
            </w:pPr>
            <w:r>
              <w:rPr>
                <w:rFonts w:hint="eastAsia" w:ascii="仿宋_GB2312" w:eastAsia="仿宋_GB2312"/>
                <w:kern w:val="0"/>
                <w:sz w:val="24"/>
                <w:szCs w:val="24"/>
              </w:rPr>
              <w:t>基于杭州径山茶的花茶窨制关键技术研究与产品开发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6" w:type="dxa"/>
          </w:tcPr>
          <w:p>
            <w:pPr>
              <w:spacing w:line="520" w:lineRule="exact"/>
              <w:jc w:val="center"/>
              <w:rPr>
                <w:rFonts w:ascii="仿宋_GB2312" w:eastAsia="仿宋_GB2312"/>
                <w:kern w:val="0"/>
                <w:sz w:val="24"/>
                <w:szCs w:val="24"/>
              </w:rPr>
            </w:pPr>
            <w:r>
              <w:rPr>
                <w:rFonts w:hint="eastAsia" w:ascii="仿宋_GB2312" w:eastAsia="仿宋_GB2312"/>
                <w:kern w:val="0"/>
                <w:sz w:val="24"/>
                <w:szCs w:val="24"/>
              </w:rPr>
              <w:t>6</w:t>
            </w:r>
          </w:p>
        </w:tc>
        <w:tc>
          <w:tcPr>
            <w:tcW w:w="7626" w:type="dxa"/>
          </w:tcPr>
          <w:p>
            <w:pPr>
              <w:spacing w:line="520" w:lineRule="exact"/>
              <w:jc w:val="left"/>
              <w:rPr>
                <w:rFonts w:ascii="仿宋_GB2312" w:eastAsia="仿宋_GB2312"/>
                <w:kern w:val="0"/>
                <w:sz w:val="24"/>
                <w:szCs w:val="24"/>
              </w:rPr>
            </w:pPr>
            <w:r>
              <w:rPr>
                <w:rFonts w:hint="eastAsia" w:ascii="仿宋_GB2312" w:eastAsia="仿宋_GB2312"/>
                <w:kern w:val="0"/>
                <w:sz w:val="24"/>
                <w:szCs w:val="24"/>
              </w:rPr>
              <w:t>青鱼品质提升养殖与保鲜供应链关键技术研究与应用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spacing w:line="520" w:lineRule="exact"/>
              <w:jc w:val="center"/>
              <w:rPr>
                <w:rFonts w:ascii="仿宋_GB2312" w:eastAsia="仿宋_GB2312"/>
                <w:kern w:val="0"/>
                <w:sz w:val="24"/>
                <w:szCs w:val="24"/>
              </w:rPr>
            </w:pPr>
            <w:r>
              <w:rPr>
                <w:rFonts w:hint="eastAsia" w:ascii="仿宋_GB2312" w:eastAsia="仿宋_GB2312"/>
                <w:kern w:val="0"/>
                <w:sz w:val="24"/>
                <w:szCs w:val="24"/>
              </w:rPr>
              <w:t>7</w:t>
            </w:r>
          </w:p>
        </w:tc>
        <w:tc>
          <w:tcPr>
            <w:tcW w:w="7626" w:type="dxa"/>
          </w:tcPr>
          <w:p>
            <w:pPr>
              <w:spacing w:line="520" w:lineRule="exact"/>
              <w:jc w:val="left"/>
              <w:rPr>
                <w:rFonts w:ascii="仿宋_GB2312" w:eastAsia="仿宋_GB2312"/>
                <w:kern w:val="0"/>
                <w:sz w:val="24"/>
                <w:szCs w:val="24"/>
              </w:rPr>
            </w:pPr>
            <w:r>
              <w:rPr>
                <w:rFonts w:hint="eastAsia" w:ascii="仿宋_GB2312" w:eastAsia="仿宋_GB2312"/>
                <w:kern w:val="0"/>
                <w:sz w:val="24"/>
                <w:szCs w:val="24"/>
              </w:rPr>
              <w:t>智慧农业中农产品产业链全程溯源技术研究与应用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spacing w:line="520" w:lineRule="exact"/>
              <w:jc w:val="center"/>
              <w:rPr>
                <w:rFonts w:ascii="仿宋_GB2312" w:eastAsia="仿宋_GB2312"/>
                <w:kern w:val="0"/>
                <w:sz w:val="24"/>
                <w:szCs w:val="24"/>
              </w:rPr>
            </w:pPr>
            <w:r>
              <w:rPr>
                <w:rFonts w:hint="eastAsia" w:ascii="仿宋_GB2312" w:eastAsia="仿宋_GB2312"/>
                <w:kern w:val="0"/>
                <w:sz w:val="24"/>
                <w:szCs w:val="24"/>
              </w:rPr>
              <w:t>8</w:t>
            </w:r>
          </w:p>
        </w:tc>
        <w:tc>
          <w:tcPr>
            <w:tcW w:w="7626" w:type="dxa"/>
          </w:tcPr>
          <w:p>
            <w:pPr>
              <w:spacing w:line="520" w:lineRule="exact"/>
              <w:jc w:val="left"/>
              <w:rPr>
                <w:rFonts w:ascii="仿宋_GB2312" w:eastAsia="仿宋_GB2312"/>
                <w:kern w:val="0"/>
                <w:sz w:val="24"/>
                <w:szCs w:val="24"/>
              </w:rPr>
            </w:pPr>
            <w:r>
              <w:rPr>
                <w:rFonts w:hint="eastAsia" w:ascii="仿宋_GB2312" w:eastAsia="仿宋_GB2312"/>
                <w:kern w:val="0"/>
                <w:sz w:val="24"/>
                <w:szCs w:val="24"/>
              </w:rPr>
              <w:t>杭州优质蔬菜品种选育及提质增效综合技术研究与示范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spacing w:line="520" w:lineRule="exact"/>
              <w:jc w:val="center"/>
              <w:rPr>
                <w:rFonts w:ascii="仿宋_GB2312" w:eastAsia="仿宋_GB2312"/>
                <w:kern w:val="0"/>
                <w:sz w:val="24"/>
                <w:szCs w:val="24"/>
              </w:rPr>
            </w:pPr>
            <w:r>
              <w:rPr>
                <w:rFonts w:hint="eastAsia" w:ascii="仿宋_GB2312" w:eastAsia="仿宋_GB2312"/>
                <w:kern w:val="0"/>
                <w:sz w:val="24"/>
                <w:szCs w:val="24"/>
              </w:rPr>
              <w:t>9</w:t>
            </w:r>
          </w:p>
        </w:tc>
        <w:tc>
          <w:tcPr>
            <w:tcW w:w="7626" w:type="dxa"/>
          </w:tcPr>
          <w:p>
            <w:pPr>
              <w:spacing w:line="520" w:lineRule="exact"/>
              <w:jc w:val="left"/>
              <w:rPr>
                <w:rFonts w:ascii="仿宋_GB2312" w:eastAsia="仿宋_GB2312"/>
                <w:kern w:val="0"/>
                <w:sz w:val="24"/>
                <w:szCs w:val="24"/>
              </w:rPr>
            </w:pPr>
            <w:r>
              <w:rPr>
                <w:rFonts w:hint="eastAsia" w:ascii="仿宋_GB2312" w:eastAsia="仿宋_GB2312"/>
                <w:kern w:val="0"/>
                <w:sz w:val="24"/>
                <w:szCs w:val="24"/>
              </w:rPr>
              <w:t>花卉景观多品种混植群落系统的构建与应用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6" w:type="dxa"/>
          </w:tcPr>
          <w:p>
            <w:pPr>
              <w:spacing w:line="520" w:lineRule="exact"/>
              <w:jc w:val="center"/>
              <w:rPr>
                <w:rFonts w:ascii="仿宋_GB2312" w:eastAsia="仿宋_GB2312"/>
                <w:kern w:val="0"/>
                <w:sz w:val="24"/>
                <w:szCs w:val="24"/>
              </w:rPr>
            </w:pPr>
            <w:r>
              <w:rPr>
                <w:rFonts w:hint="eastAsia" w:ascii="仿宋_GB2312" w:eastAsia="仿宋_GB2312"/>
                <w:kern w:val="0"/>
                <w:sz w:val="24"/>
                <w:szCs w:val="24"/>
              </w:rPr>
              <w:t>1</w:t>
            </w:r>
            <w:r>
              <w:rPr>
                <w:rFonts w:ascii="仿宋_GB2312" w:eastAsia="仿宋_GB2312"/>
                <w:kern w:val="0"/>
                <w:sz w:val="24"/>
                <w:szCs w:val="24"/>
              </w:rPr>
              <w:t>0</w:t>
            </w:r>
          </w:p>
        </w:tc>
        <w:tc>
          <w:tcPr>
            <w:tcW w:w="7626" w:type="dxa"/>
          </w:tcPr>
          <w:p>
            <w:pPr>
              <w:spacing w:line="520" w:lineRule="exact"/>
              <w:jc w:val="left"/>
              <w:rPr>
                <w:rFonts w:ascii="仿宋_GB2312" w:eastAsia="仿宋_GB2312"/>
                <w:kern w:val="0"/>
                <w:sz w:val="24"/>
                <w:szCs w:val="24"/>
              </w:rPr>
            </w:pPr>
            <w:r>
              <w:rPr>
                <w:rFonts w:hint="eastAsia" w:ascii="仿宋_GB2312" w:eastAsia="仿宋_GB2312"/>
                <w:kern w:val="0"/>
                <w:sz w:val="24"/>
                <w:szCs w:val="24"/>
              </w:rPr>
              <w:t>融合多源信息智能水肥系统及其产业化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2" w:type="dxa"/>
            <w:gridSpan w:val="2"/>
            <w:vAlign w:val="center"/>
          </w:tcPr>
          <w:p>
            <w:pPr>
              <w:spacing w:line="520" w:lineRule="exact"/>
              <w:rPr>
                <w:rFonts w:ascii="楷体_GB2312" w:eastAsia="楷体_GB2312"/>
                <w:kern w:val="0"/>
                <w:sz w:val="24"/>
                <w:szCs w:val="24"/>
              </w:rPr>
            </w:pPr>
            <w:r>
              <w:rPr>
                <w:rFonts w:hint="eastAsia" w:ascii="楷体_GB2312" w:eastAsia="楷体_GB2312"/>
                <w:kern w:val="0"/>
                <w:sz w:val="24"/>
                <w:szCs w:val="24"/>
              </w:rPr>
              <w:t>医疗卫生领域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spacing w:line="520" w:lineRule="exact"/>
              <w:jc w:val="center"/>
              <w:rPr>
                <w:rFonts w:ascii="仿宋_GB2312" w:eastAsia="仿宋_GB2312"/>
                <w:kern w:val="0"/>
                <w:sz w:val="24"/>
                <w:szCs w:val="24"/>
              </w:rPr>
            </w:pPr>
            <w:r>
              <w:rPr>
                <w:rFonts w:hint="eastAsia" w:ascii="仿宋_GB2312" w:eastAsia="仿宋_GB2312"/>
                <w:kern w:val="0"/>
                <w:sz w:val="24"/>
                <w:szCs w:val="24"/>
              </w:rPr>
              <w:t>1</w:t>
            </w:r>
            <w:r>
              <w:rPr>
                <w:rFonts w:ascii="仿宋_GB2312" w:eastAsia="仿宋_GB2312"/>
                <w:kern w:val="0"/>
                <w:sz w:val="24"/>
                <w:szCs w:val="24"/>
              </w:rPr>
              <w:t>1</w:t>
            </w:r>
          </w:p>
        </w:tc>
        <w:tc>
          <w:tcPr>
            <w:tcW w:w="7626" w:type="dxa"/>
          </w:tcPr>
          <w:p>
            <w:pPr>
              <w:spacing w:line="520" w:lineRule="exact"/>
              <w:jc w:val="left"/>
              <w:rPr>
                <w:rFonts w:ascii="仿宋_GB2312" w:eastAsia="仿宋_GB2312"/>
                <w:kern w:val="0"/>
                <w:sz w:val="24"/>
                <w:szCs w:val="24"/>
              </w:rPr>
            </w:pPr>
            <w:r>
              <w:rPr>
                <w:rFonts w:hint="eastAsia" w:ascii="仿宋_GB2312" w:eastAsia="仿宋_GB2312"/>
                <w:kern w:val="0"/>
                <w:sz w:val="24"/>
                <w:szCs w:val="24"/>
              </w:rPr>
              <w:t>基于微流控的多维度肿瘤微环境系统研究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spacing w:line="520" w:lineRule="exact"/>
              <w:jc w:val="center"/>
              <w:rPr>
                <w:rFonts w:ascii="仿宋_GB2312" w:eastAsia="仿宋_GB2312"/>
                <w:kern w:val="0"/>
                <w:sz w:val="24"/>
                <w:szCs w:val="24"/>
              </w:rPr>
            </w:pPr>
            <w:r>
              <w:rPr>
                <w:rFonts w:ascii="仿宋_GB2312" w:eastAsia="仿宋_GB2312"/>
                <w:kern w:val="0"/>
                <w:sz w:val="24"/>
                <w:szCs w:val="24"/>
              </w:rPr>
              <w:t>12</w:t>
            </w:r>
          </w:p>
        </w:tc>
        <w:tc>
          <w:tcPr>
            <w:tcW w:w="7626" w:type="dxa"/>
          </w:tcPr>
          <w:p>
            <w:pPr>
              <w:spacing w:line="520" w:lineRule="exact"/>
              <w:jc w:val="left"/>
              <w:rPr>
                <w:rFonts w:ascii="仿宋_GB2312" w:eastAsia="仿宋_GB2312"/>
                <w:kern w:val="0"/>
                <w:sz w:val="24"/>
                <w:szCs w:val="24"/>
              </w:rPr>
            </w:pPr>
            <w:r>
              <w:rPr>
                <w:rFonts w:hint="eastAsia" w:ascii="仿宋_GB2312" w:eastAsia="仿宋_GB2312"/>
                <w:kern w:val="0"/>
                <w:sz w:val="24"/>
                <w:szCs w:val="24"/>
              </w:rPr>
              <w:t>尿失禁治疗的磁共振兼容神经调控产品研究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6" w:type="dxa"/>
          </w:tcPr>
          <w:p>
            <w:pPr>
              <w:spacing w:line="520" w:lineRule="exact"/>
              <w:jc w:val="center"/>
              <w:rPr>
                <w:rFonts w:ascii="仿宋_GB2312" w:eastAsia="仿宋_GB2312"/>
                <w:kern w:val="0"/>
                <w:sz w:val="24"/>
                <w:szCs w:val="24"/>
              </w:rPr>
            </w:pPr>
            <w:r>
              <w:rPr>
                <w:rFonts w:hint="eastAsia" w:ascii="仿宋_GB2312" w:eastAsia="仿宋_GB2312"/>
                <w:kern w:val="0"/>
                <w:sz w:val="24"/>
                <w:szCs w:val="24"/>
              </w:rPr>
              <w:t>1</w:t>
            </w:r>
            <w:r>
              <w:rPr>
                <w:rFonts w:ascii="仿宋_GB2312" w:eastAsia="仿宋_GB2312"/>
                <w:kern w:val="0"/>
                <w:sz w:val="24"/>
                <w:szCs w:val="24"/>
              </w:rPr>
              <w:t>3</w:t>
            </w:r>
          </w:p>
        </w:tc>
        <w:tc>
          <w:tcPr>
            <w:tcW w:w="7626" w:type="dxa"/>
          </w:tcPr>
          <w:p>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ascii="仿宋_GB2312" w:eastAsia="仿宋_GB2312"/>
                <w:kern w:val="0"/>
                <w:sz w:val="24"/>
                <w:szCs w:val="24"/>
              </w:rPr>
            </w:pPr>
            <w:r>
              <w:rPr>
                <w:rFonts w:hint="eastAsia" w:ascii="仿宋_GB2312" w:eastAsia="仿宋_GB2312"/>
                <w:kern w:val="0"/>
                <w:sz w:val="24"/>
                <w:szCs w:val="24"/>
              </w:rPr>
              <w:t>中药活性成分经皮精准递送关键技术研究及其在炎症和宿主免疫功能缺陷疾病中的应用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spacing w:line="520" w:lineRule="exact"/>
              <w:jc w:val="center"/>
              <w:rPr>
                <w:rFonts w:ascii="仿宋_GB2312" w:eastAsia="仿宋_GB2312"/>
                <w:kern w:val="0"/>
                <w:sz w:val="24"/>
                <w:szCs w:val="24"/>
              </w:rPr>
            </w:pPr>
            <w:r>
              <w:rPr>
                <w:rFonts w:hint="eastAsia" w:ascii="仿宋_GB2312" w:eastAsia="仿宋_GB2312"/>
                <w:kern w:val="0"/>
                <w:sz w:val="24"/>
                <w:szCs w:val="24"/>
              </w:rPr>
              <w:t>1</w:t>
            </w:r>
            <w:r>
              <w:rPr>
                <w:rFonts w:ascii="仿宋_GB2312" w:eastAsia="仿宋_GB2312"/>
                <w:kern w:val="0"/>
                <w:sz w:val="24"/>
                <w:szCs w:val="24"/>
              </w:rPr>
              <w:t>4</w:t>
            </w:r>
          </w:p>
        </w:tc>
        <w:tc>
          <w:tcPr>
            <w:tcW w:w="7626" w:type="dxa"/>
          </w:tcPr>
          <w:p>
            <w:pPr>
              <w:spacing w:line="520" w:lineRule="exact"/>
              <w:jc w:val="left"/>
              <w:rPr>
                <w:rFonts w:ascii="仿宋_GB2312" w:eastAsia="仿宋_GB2312"/>
                <w:kern w:val="0"/>
                <w:sz w:val="24"/>
                <w:szCs w:val="24"/>
              </w:rPr>
            </w:pPr>
            <w:r>
              <w:rPr>
                <w:rFonts w:hint="eastAsia" w:ascii="仿宋_GB2312" w:eastAsia="仿宋_GB2312"/>
                <w:kern w:val="0"/>
                <w:sz w:val="24"/>
                <w:szCs w:val="24"/>
              </w:rPr>
              <w:t>新型耐碳青霉烯类肠杆菌中药活性成分研究及产品开发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spacing w:line="520" w:lineRule="exact"/>
              <w:jc w:val="center"/>
              <w:rPr>
                <w:rFonts w:ascii="仿宋_GB2312" w:eastAsia="仿宋_GB2312"/>
                <w:kern w:val="0"/>
                <w:sz w:val="24"/>
                <w:szCs w:val="24"/>
              </w:rPr>
            </w:pPr>
            <w:r>
              <w:rPr>
                <w:rFonts w:hint="eastAsia" w:ascii="仿宋_GB2312" w:eastAsia="仿宋_GB2312"/>
                <w:kern w:val="0"/>
                <w:sz w:val="24"/>
                <w:szCs w:val="24"/>
              </w:rPr>
              <w:t>1</w:t>
            </w:r>
            <w:r>
              <w:rPr>
                <w:rFonts w:ascii="仿宋_GB2312" w:eastAsia="仿宋_GB2312"/>
                <w:kern w:val="0"/>
                <w:sz w:val="24"/>
                <w:szCs w:val="24"/>
              </w:rPr>
              <w:t>5</w:t>
            </w:r>
          </w:p>
        </w:tc>
        <w:tc>
          <w:tcPr>
            <w:tcW w:w="7626" w:type="dxa"/>
          </w:tcPr>
          <w:p>
            <w:pPr>
              <w:spacing w:line="520" w:lineRule="exact"/>
              <w:jc w:val="left"/>
              <w:rPr>
                <w:rFonts w:ascii="仿宋_GB2312" w:eastAsia="仿宋_GB2312"/>
                <w:kern w:val="0"/>
                <w:sz w:val="24"/>
                <w:szCs w:val="24"/>
              </w:rPr>
            </w:pPr>
            <w:r>
              <w:rPr>
                <w:rFonts w:hint="eastAsia" w:ascii="仿宋_GB2312" w:eastAsia="仿宋_GB2312"/>
                <w:kern w:val="0"/>
                <w:sz w:val="24"/>
                <w:szCs w:val="24"/>
              </w:rPr>
              <w:t>靶向原癌基因的淋巴瘤抗体偶联药物（</w:t>
            </w:r>
            <w:r>
              <w:rPr>
                <w:rFonts w:ascii="仿宋_GB2312" w:eastAsia="仿宋_GB2312"/>
                <w:kern w:val="0"/>
                <w:sz w:val="24"/>
                <w:szCs w:val="24"/>
              </w:rPr>
              <w:t>ADC）创新药物设计与研究技术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spacing w:line="520" w:lineRule="exact"/>
              <w:jc w:val="center"/>
              <w:rPr>
                <w:rFonts w:ascii="仿宋_GB2312" w:eastAsia="仿宋_GB2312"/>
                <w:kern w:val="0"/>
                <w:sz w:val="24"/>
                <w:szCs w:val="24"/>
              </w:rPr>
            </w:pPr>
            <w:r>
              <w:rPr>
                <w:rFonts w:hint="eastAsia" w:ascii="仿宋_GB2312" w:eastAsia="仿宋_GB2312"/>
                <w:kern w:val="0"/>
                <w:sz w:val="24"/>
                <w:szCs w:val="24"/>
              </w:rPr>
              <w:t>1</w:t>
            </w:r>
            <w:r>
              <w:rPr>
                <w:rFonts w:ascii="仿宋_GB2312" w:eastAsia="仿宋_GB2312"/>
                <w:kern w:val="0"/>
                <w:sz w:val="24"/>
                <w:szCs w:val="24"/>
              </w:rPr>
              <w:t>6</w:t>
            </w:r>
          </w:p>
        </w:tc>
        <w:tc>
          <w:tcPr>
            <w:tcW w:w="7626" w:type="dxa"/>
          </w:tcPr>
          <w:p>
            <w:pPr>
              <w:spacing w:line="520" w:lineRule="exact"/>
              <w:jc w:val="left"/>
              <w:rPr>
                <w:rFonts w:ascii="仿宋_GB2312" w:eastAsia="仿宋_GB2312"/>
                <w:kern w:val="0"/>
                <w:sz w:val="24"/>
                <w:szCs w:val="24"/>
              </w:rPr>
            </w:pPr>
            <w:r>
              <w:rPr>
                <w:rFonts w:hint="eastAsia" w:ascii="仿宋_GB2312" w:eastAsia="仿宋_GB2312"/>
                <w:kern w:val="0"/>
                <w:sz w:val="24"/>
                <w:szCs w:val="24"/>
              </w:rPr>
              <w:t>基于蛋白稳态调控的消化系统肿瘤发生发展机制研究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6" w:type="dxa"/>
          </w:tcPr>
          <w:p>
            <w:pPr>
              <w:spacing w:line="520" w:lineRule="exact"/>
              <w:jc w:val="center"/>
              <w:rPr>
                <w:rFonts w:ascii="仿宋_GB2312" w:eastAsia="仿宋_GB2312"/>
                <w:kern w:val="0"/>
                <w:sz w:val="24"/>
                <w:szCs w:val="24"/>
              </w:rPr>
            </w:pPr>
            <w:r>
              <w:rPr>
                <w:rFonts w:ascii="仿宋_GB2312" w:eastAsia="仿宋_GB2312"/>
                <w:kern w:val="0"/>
                <w:sz w:val="24"/>
                <w:szCs w:val="24"/>
              </w:rPr>
              <w:t>17</w:t>
            </w:r>
          </w:p>
        </w:tc>
        <w:tc>
          <w:tcPr>
            <w:tcW w:w="7626" w:type="dxa"/>
          </w:tcPr>
          <w:p>
            <w:pPr>
              <w:spacing w:line="520" w:lineRule="exact"/>
              <w:jc w:val="left"/>
              <w:rPr>
                <w:rFonts w:ascii="仿宋_GB2312" w:eastAsia="仿宋_GB2312"/>
                <w:kern w:val="0"/>
                <w:sz w:val="24"/>
                <w:szCs w:val="24"/>
              </w:rPr>
            </w:pPr>
            <w:r>
              <w:rPr>
                <w:rFonts w:hint="eastAsia" w:ascii="仿宋_GB2312" w:eastAsia="仿宋_GB2312"/>
                <w:kern w:val="0"/>
                <w:sz w:val="24"/>
                <w:szCs w:val="24"/>
              </w:rPr>
              <w:t>精神分裂症潜在治疗技术研究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spacing w:line="520" w:lineRule="exact"/>
              <w:jc w:val="center"/>
              <w:rPr>
                <w:rFonts w:ascii="仿宋_GB2312" w:eastAsia="仿宋_GB2312"/>
                <w:kern w:val="0"/>
                <w:sz w:val="24"/>
                <w:szCs w:val="24"/>
              </w:rPr>
            </w:pPr>
            <w:r>
              <w:rPr>
                <w:rFonts w:ascii="仿宋_GB2312" w:eastAsia="仿宋_GB2312"/>
                <w:kern w:val="0"/>
                <w:sz w:val="24"/>
                <w:szCs w:val="24"/>
              </w:rPr>
              <w:t>18</w:t>
            </w:r>
          </w:p>
        </w:tc>
        <w:tc>
          <w:tcPr>
            <w:tcW w:w="7626" w:type="dxa"/>
          </w:tcPr>
          <w:p>
            <w:pPr>
              <w:spacing w:line="520" w:lineRule="exact"/>
              <w:jc w:val="left"/>
              <w:rPr>
                <w:rFonts w:ascii="仿宋_GB2312" w:eastAsia="仿宋_GB2312"/>
                <w:kern w:val="0"/>
                <w:sz w:val="24"/>
                <w:szCs w:val="24"/>
              </w:rPr>
            </w:pPr>
            <w:r>
              <w:rPr>
                <w:rFonts w:hint="eastAsia" w:ascii="仿宋_GB2312" w:eastAsia="仿宋_GB2312"/>
                <w:kern w:val="0"/>
                <w:sz w:val="24"/>
                <w:szCs w:val="24"/>
              </w:rPr>
              <w:t>髓核衰老与脊柱退行性疾病的新机制研究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spacing w:line="520" w:lineRule="exact"/>
              <w:jc w:val="center"/>
              <w:rPr>
                <w:rFonts w:ascii="仿宋_GB2312" w:eastAsia="仿宋_GB2312"/>
                <w:kern w:val="0"/>
                <w:sz w:val="24"/>
                <w:szCs w:val="24"/>
              </w:rPr>
            </w:pPr>
            <w:r>
              <w:rPr>
                <w:rFonts w:ascii="仿宋_GB2312" w:eastAsia="仿宋_GB2312"/>
                <w:kern w:val="0"/>
                <w:sz w:val="24"/>
                <w:szCs w:val="24"/>
              </w:rPr>
              <w:t>19</w:t>
            </w:r>
          </w:p>
        </w:tc>
        <w:tc>
          <w:tcPr>
            <w:tcW w:w="7626" w:type="dxa"/>
          </w:tcPr>
          <w:p>
            <w:pPr>
              <w:spacing w:line="520" w:lineRule="exact"/>
              <w:jc w:val="left"/>
              <w:rPr>
                <w:rFonts w:ascii="仿宋_GB2312" w:eastAsia="仿宋_GB2312"/>
                <w:kern w:val="0"/>
                <w:sz w:val="24"/>
                <w:szCs w:val="24"/>
              </w:rPr>
            </w:pPr>
            <w:r>
              <w:rPr>
                <w:rFonts w:hint="eastAsia" w:ascii="仿宋_GB2312" w:eastAsia="仿宋_GB2312"/>
                <w:kern w:val="0"/>
                <w:sz w:val="24"/>
                <w:szCs w:val="24"/>
              </w:rPr>
              <w:t>基于影像组学精准调控干预阿尔茨海默病的临床疗效及机制研究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spacing w:line="520" w:lineRule="exact"/>
              <w:jc w:val="center"/>
              <w:rPr>
                <w:rFonts w:ascii="仿宋_GB2312" w:eastAsia="仿宋_GB2312"/>
                <w:kern w:val="0"/>
                <w:sz w:val="24"/>
                <w:szCs w:val="24"/>
              </w:rPr>
            </w:pPr>
            <w:r>
              <w:rPr>
                <w:rFonts w:hint="eastAsia" w:ascii="仿宋_GB2312" w:eastAsia="仿宋_GB2312"/>
                <w:kern w:val="0"/>
                <w:sz w:val="24"/>
                <w:szCs w:val="24"/>
              </w:rPr>
              <w:t>2</w:t>
            </w:r>
            <w:r>
              <w:rPr>
                <w:rFonts w:ascii="仿宋_GB2312" w:eastAsia="仿宋_GB2312"/>
                <w:kern w:val="0"/>
                <w:sz w:val="24"/>
                <w:szCs w:val="24"/>
              </w:rPr>
              <w:t>0</w:t>
            </w:r>
          </w:p>
        </w:tc>
        <w:tc>
          <w:tcPr>
            <w:tcW w:w="7626" w:type="dxa"/>
          </w:tcPr>
          <w:p>
            <w:pPr>
              <w:spacing w:line="520" w:lineRule="exact"/>
              <w:jc w:val="left"/>
              <w:rPr>
                <w:rFonts w:ascii="仿宋_GB2312" w:eastAsia="仿宋_GB2312"/>
                <w:kern w:val="0"/>
                <w:sz w:val="24"/>
                <w:szCs w:val="24"/>
              </w:rPr>
            </w:pPr>
            <w:r>
              <w:rPr>
                <w:rFonts w:hint="eastAsia" w:ascii="仿宋_GB2312" w:eastAsia="仿宋_GB2312"/>
                <w:kern w:val="0"/>
                <w:sz w:val="24"/>
                <w:szCs w:val="24"/>
              </w:rPr>
              <w:t>基于纳米蛋白组学的肿瘤图谱构建及诊断研究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72" w:type="dxa"/>
            <w:gridSpan w:val="2"/>
            <w:vAlign w:val="center"/>
          </w:tcPr>
          <w:p>
            <w:pPr>
              <w:spacing w:line="520" w:lineRule="exact"/>
              <w:rPr>
                <w:rFonts w:ascii="楷体_GB2312" w:eastAsia="楷体_GB2312"/>
                <w:kern w:val="0"/>
                <w:sz w:val="24"/>
                <w:szCs w:val="24"/>
              </w:rPr>
            </w:pPr>
            <w:r>
              <w:rPr>
                <w:rFonts w:hint="eastAsia" w:ascii="楷体_GB2312" w:eastAsia="楷体_GB2312"/>
                <w:kern w:val="0"/>
                <w:sz w:val="24"/>
                <w:szCs w:val="24"/>
              </w:rPr>
              <w:t>其他社会发展领域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spacing w:line="520" w:lineRule="exact"/>
              <w:jc w:val="center"/>
              <w:rPr>
                <w:rFonts w:ascii="仿宋_GB2312" w:eastAsia="仿宋_GB2312"/>
                <w:kern w:val="0"/>
                <w:sz w:val="24"/>
                <w:szCs w:val="24"/>
              </w:rPr>
            </w:pPr>
            <w:r>
              <w:rPr>
                <w:rFonts w:ascii="仿宋_GB2312" w:eastAsia="仿宋_GB2312"/>
                <w:kern w:val="0"/>
                <w:sz w:val="24"/>
                <w:szCs w:val="24"/>
              </w:rPr>
              <w:t>21</w:t>
            </w:r>
          </w:p>
        </w:tc>
        <w:tc>
          <w:tcPr>
            <w:tcW w:w="7626" w:type="dxa"/>
          </w:tcPr>
          <w:p>
            <w:pPr>
              <w:spacing w:line="520" w:lineRule="exact"/>
              <w:jc w:val="left"/>
              <w:rPr>
                <w:rFonts w:ascii="仿宋_GB2312" w:eastAsia="仿宋_GB2312"/>
                <w:kern w:val="0"/>
                <w:sz w:val="24"/>
                <w:szCs w:val="24"/>
              </w:rPr>
            </w:pPr>
            <w:r>
              <w:rPr>
                <w:rFonts w:hint="eastAsia" w:ascii="仿宋_GB2312" w:eastAsia="仿宋_GB2312"/>
                <w:kern w:val="0"/>
                <w:sz w:val="24"/>
                <w:szCs w:val="24"/>
              </w:rPr>
              <w:t>面向海洋系统的跨尺度高稳定多功能涂层设计与构筑及产业化应用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spacing w:line="520" w:lineRule="exact"/>
              <w:jc w:val="center"/>
              <w:rPr>
                <w:rFonts w:ascii="仿宋_GB2312" w:eastAsia="仿宋_GB2312"/>
                <w:kern w:val="0"/>
                <w:sz w:val="24"/>
                <w:szCs w:val="24"/>
              </w:rPr>
            </w:pPr>
            <w:r>
              <w:rPr>
                <w:rFonts w:ascii="仿宋_GB2312" w:eastAsia="仿宋_GB2312"/>
                <w:kern w:val="0"/>
                <w:sz w:val="24"/>
                <w:szCs w:val="24"/>
              </w:rPr>
              <w:t>22</w:t>
            </w:r>
          </w:p>
        </w:tc>
        <w:tc>
          <w:tcPr>
            <w:tcW w:w="7626" w:type="dxa"/>
          </w:tcPr>
          <w:p>
            <w:pPr>
              <w:spacing w:line="520" w:lineRule="exact"/>
              <w:jc w:val="left"/>
              <w:rPr>
                <w:rFonts w:ascii="仿宋_GB2312" w:eastAsia="仿宋_GB2312"/>
                <w:kern w:val="0"/>
                <w:sz w:val="24"/>
                <w:szCs w:val="24"/>
              </w:rPr>
            </w:pPr>
            <w:r>
              <w:rPr>
                <w:rFonts w:hint="eastAsia" w:ascii="仿宋_GB2312" w:eastAsia="仿宋_GB2312"/>
                <w:kern w:val="0"/>
                <w:sz w:val="24"/>
                <w:szCs w:val="24"/>
              </w:rPr>
              <w:t>城市智慧停车系统的</w:t>
            </w:r>
            <w:r>
              <w:rPr>
                <w:rFonts w:hint="eastAsia" w:ascii="仿宋_GB2312" w:eastAsia="仿宋_GB2312"/>
                <w:kern w:val="0"/>
                <w:sz w:val="24"/>
                <w:szCs w:val="24"/>
                <w:shd w:val="clear" w:color="auto" w:fill="FFFFFF"/>
              </w:rPr>
              <w:t>停充</w:t>
            </w:r>
            <w:r>
              <w:rPr>
                <w:rFonts w:hint="eastAsia" w:ascii="仿宋_GB2312" w:eastAsia="仿宋_GB2312"/>
                <w:kern w:val="0"/>
                <w:sz w:val="24"/>
                <w:szCs w:val="24"/>
              </w:rPr>
              <w:t>一体化关键技术研究与应用示范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pPr>
              <w:spacing w:line="520" w:lineRule="exact"/>
              <w:jc w:val="center"/>
              <w:rPr>
                <w:rFonts w:ascii="仿宋_GB2312" w:eastAsia="仿宋_GB2312"/>
                <w:kern w:val="0"/>
                <w:sz w:val="24"/>
                <w:szCs w:val="24"/>
              </w:rPr>
            </w:pPr>
            <w:r>
              <w:rPr>
                <w:rFonts w:ascii="仿宋_GB2312" w:eastAsia="仿宋_GB2312"/>
                <w:kern w:val="0"/>
                <w:sz w:val="24"/>
                <w:szCs w:val="24"/>
              </w:rPr>
              <w:t>23</w:t>
            </w:r>
          </w:p>
        </w:tc>
        <w:tc>
          <w:tcPr>
            <w:tcW w:w="7626" w:type="dxa"/>
          </w:tcPr>
          <w:p>
            <w:pPr>
              <w:spacing w:line="520" w:lineRule="exact"/>
              <w:jc w:val="left"/>
              <w:rPr>
                <w:rFonts w:ascii="仿宋_GB2312" w:eastAsia="仿宋_GB2312"/>
                <w:kern w:val="0"/>
                <w:sz w:val="24"/>
                <w:szCs w:val="24"/>
              </w:rPr>
            </w:pPr>
            <w:r>
              <w:rPr>
                <w:rFonts w:hint="eastAsia" w:ascii="仿宋_GB2312" w:eastAsia="仿宋_GB2312"/>
                <w:kern w:val="0"/>
                <w:sz w:val="24"/>
                <w:szCs w:val="24"/>
              </w:rPr>
              <w:t>农产品质量安全因子超灵敏快速检测技术研究与应用</w:t>
            </w:r>
          </w:p>
        </w:tc>
      </w:tr>
    </w:tbl>
    <w:p>
      <w:pPr>
        <w:spacing w:line="600" w:lineRule="exact"/>
        <w:jc w:val="left"/>
        <w:rPr>
          <w:rFonts w:ascii="仿宋_GB2312" w:eastAsia="仿宋_GB2312"/>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汉仪中圆B5"/>
    <w:panose1 w:val="02010600030101010101"/>
    <w:charset w:val="86"/>
    <w:family w:val="auto"/>
    <w:pitch w:val="default"/>
    <w:sig w:usb0="00000000" w:usb1="00000000" w:usb2="00000016" w:usb3="00000000" w:csb0="0004000F" w:csb1="00000000"/>
  </w:font>
  <w:font w:name="等线">
    <w:altName w:val="汉仪仿宋S"/>
    <w:panose1 w:val="00000000000000000000"/>
    <w:charset w:val="86"/>
    <w:family w:val="auto"/>
    <w:pitch w:val="default"/>
    <w:sig w:usb0="00000000" w:usb1="00000000" w:usb2="00000000" w:usb3="00000000" w:csb0="00000000" w:csb1="00000000"/>
  </w:font>
  <w:font w:name="等线">
    <w:altName w:val="汉仪仿宋S"/>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汉仪仿宋S">
    <w:panose1 w:val="00020600040101000101"/>
    <w:charset w:val="86"/>
    <w:family w:val="auto"/>
    <w:pitch w:val="default"/>
    <w:sig w:usb0="A00002BF" w:usb1="38CF7CFA" w:usb2="00000016" w:usb3="00000000" w:csb0="0004009F" w:csb1="00000000"/>
  </w:font>
  <w:font w:name="DejaVu Sans">
    <w:panose1 w:val="020B0603030804020204"/>
    <w:charset w:val="00"/>
    <w:family w:val="auto"/>
    <w:pitch w:val="default"/>
    <w:sig w:usb0="E7006EFF" w:usb1="D200FDFF" w:usb2="0A246029" w:usb3="0400200C" w:csb0="600001FF" w:csb1="DFFF0000"/>
  </w:font>
  <w:font w:name="方正小标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476"/>
    <w:rsid w:val="00047C04"/>
    <w:rsid w:val="001F10A1"/>
    <w:rsid w:val="002502F6"/>
    <w:rsid w:val="002A1840"/>
    <w:rsid w:val="00552476"/>
    <w:rsid w:val="006C5CF1"/>
    <w:rsid w:val="00AB33AC"/>
    <w:rsid w:val="00CD7449"/>
    <w:rsid w:val="00EE10B1"/>
    <w:rsid w:val="00F2503C"/>
    <w:rsid w:val="BEFFD99E"/>
    <w:rsid w:val="D9B7FD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8"/>
    <w:semiHidden/>
    <w:unhideWhenUsed/>
    <w:qFormat/>
    <w:uiPriority w:val="99"/>
    <w:pPr>
      <w:spacing w:after="120"/>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unhideWhenUsed/>
    <w:qFormat/>
    <w:uiPriority w:val="3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正文文本 字符"/>
    <w:basedOn w:val="7"/>
    <w:link w:val="2"/>
    <w:semiHidden/>
    <w:qFormat/>
    <w:uiPriority w:val="99"/>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105</Words>
  <Characters>600</Characters>
  <Lines>5</Lines>
  <Paragraphs>1</Paragraphs>
  <TotalTime>4</TotalTime>
  <ScaleCrop>false</ScaleCrop>
  <LinksUpToDate>false</LinksUpToDate>
  <CharactersWithSpaces>704</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2024-04-02T01:45:00Z</dcterms:created>
  <dc:creator>Administrator</dc:creator>
  <cp:lastModifiedBy>user</cp:lastModifiedBy>
  <dcterms:modified xsi:type="dcterms:W3CDTF">2024-04-02T09:17:20Z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