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A6DDD4">
      <w:pPr>
        <w:adjustRightInd w:val="0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1395EC8D">
      <w:pPr>
        <w:spacing w:before="0" w:after="5" w:line="180" w:lineRule="exact"/>
        <w:rPr>
          <w:rFonts w:ascii="Calibri" w:hAnsi="Calibri" w:eastAsia="Calibri" w:cs="Calibri"/>
          <w:sz w:val="18"/>
          <w:szCs w:val="18"/>
        </w:rPr>
      </w:pPr>
    </w:p>
    <w:p w14:paraId="5D7C916B">
      <w:pPr>
        <w:adjustRightInd w:val="0"/>
        <w:jc w:val="center"/>
        <w:rPr>
          <w:rFonts w:hint="eastAsia" w:ascii="仿宋_GB2312" w:hAnsi="ˎ̥" w:eastAsia="仿宋_GB2312" w:cs="宋体"/>
          <w:b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2"/>
          <w:szCs w:val="32"/>
          <w:lang w:val="en-US" w:eastAsia="zh-CN" w:bidi="ar-SA"/>
        </w:rPr>
        <w:t>第十四届多媒体学习资源比赛作品评选指标</w:t>
      </w:r>
    </w:p>
    <w:p w14:paraId="3EADBA9F">
      <w:pPr>
        <w:adjustRightInd w:val="0"/>
        <w:jc w:val="center"/>
        <w:rPr>
          <w:rFonts w:hint="eastAsia" w:ascii="仿宋_GB2312" w:hAnsi="ˎ̥" w:eastAsia="仿宋_GB2312" w:cs="宋体"/>
          <w:b/>
          <w:bCs/>
          <w:kern w:val="0"/>
          <w:sz w:val="32"/>
          <w:szCs w:val="32"/>
          <w:lang w:val="en-US" w:eastAsia="zh-CN" w:bidi="ar-SA"/>
        </w:rPr>
      </w:pPr>
    </w:p>
    <w:tbl>
      <w:tblPr>
        <w:tblStyle w:val="4"/>
        <w:tblW w:w="91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3"/>
        <w:gridCol w:w="1650"/>
        <w:gridCol w:w="6191"/>
      </w:tblGrid>
      <w:tr w14:paraId="5B8F8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323" w:type="dxa"/>
            <w:vAlign w:val="center"/>
          </w:tcPr>
          <w:p w14:paraId="6062DBC0">
            <w:pPr>
              <w:widowControl w:val="0"/>
              <w:spacing w:before="0" w:after="0" w:line="240" w:lineRule="auto"/>
              <w:ind w:left="43" w:right="-20" w:firstLine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trike w:val="0"/>
                <w:color w:val="313131"/>
                <w:spacing w:val="0"/>
                <w:w w:val="100"/>
                <w:position w:val="0"/>
                <w:sz w:val="24"/>
                <w:szCs w:val="24"/>
                <w:u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</w:rPr>
              <w:t>一级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trike w:val="0"/>
                <w:color w:val="000000"/>
                <w:spacing w:val="-3"/>
                <w:w w:val="100"/>
                <w:position w:val="0"/>
                <w:sz w:val="24"/>
                <w:szCs w:val="24"/>
                <w:u w:val="none"/>
              </w:rPr>
              <w:t>指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trike w:val="0"/>
                <w:color w:val="000000"/>
                <w:spacing w:val="-1"/>
                <w:w w:val="100"/>
                <w:position w:val="0"/>
                <w:sz w:val="24"/>
                <w:szCs w:val="24"/>
                <w:u w:val="none"/>
              </w:rPr>
              <w:t>标</w:t>
            </w:r>
          </w:p>
        </w:tc>
        <w:tc>
          <w:tcPr>
            <w:tcW w:w="1650" w:type="dxa"/>
            <w:vAlign w:val="center"/>
          </w:tcPr>
          <w:p w14:paraId="782615D2">
            <w:pPr>
              <w:widowControl w:val="0"/>
              <w:spacing w:before="0" w:after="0" w:line="240" w:lineRule="auto"/>
              <w:ind w:left="314" w:right="-20" w:firstLine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strike w:val="0"/>
                <w:color w:val="313131"/>
                <w:spacing w:val="0"/>
                <w:w w:val="100"/>
                <w:position w:val="0"/>
                <w:sz w:val="24"/>
                <w:szCs w:val="24"/>
                <w:u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</w:rPr>
              <w:t>二级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trike w:val="0"/>
                <w:color w:val="000000"/>
                <w:spacing w:val="-3"/>
                <w:w w:val="100"/>
                <w:position w:val="0"/>
                <w:sz w:val="24"/>
                <w:szCs w:val="24"/>
                <w:u w:val="none"/>
              </w:rPr>
              <w:t>指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trike w:val="0"/>
                <w:color w:val="000000"/>
                <w:spacing w:val="-1"/>
                <w:w w:val="100"/>
                <w:position w:val="0"/>
                <w:sz w:val="24"/>
                <w:szCs w:val="24"/>
                <w:u w:val="none"/>
              </w:rPr>
              <w:t>标</w:t>
            </w:r>
          </w:p>
        </w:tc>
        <w:tc>
          <w:tcPr>
            <w:tcW w:w="6191" w:type="dxa"/>
            <w:vAlign w:val="center"/>
          </w:tcPr>
          <w:p w14:paraId="3B985088">
            <w:pPr>
              <w:widowControl w:val="0"/>
              <w:spacing w:before="0" w:after="0" w:line="240" w:lineRule="auto"/>
              <w:ind w:right="-2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trike w:val="0"/>
                <w:color w:val="313131"/>
                <w:spacing w:val="0"/>
                <w:w w:val="100"/>
                <w:position w:val="0"/>
                <w:sz w:val="24"/>
                <w:szCs w:val="24"/>
                <w:u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</w:rPr>
              <w:t>指标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trike w:val="0"/>
                <w:color w:val="000000"/>
                <w:spacing w:val="-3"/>
                <w:w w:val="100"/>
                <w:position w:val="0"/>
                <w:sz w:val="24"/>
                <w:szCs w:val="24"/>
                <w:u w:val="none"/>
              </w:rPr>
              <w:t>说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trike w:val="0"/>
                <w:color w:val="000000"/>
                <w:spacing w:val="-1"/>
                <w:w w:val="100"/>
                <w:position w:val="0"/>
                <w:sz w:val="24"/>
                <w:szCs w:val="24"/>
                <w:u w:val="none"/>
              </w:rPr>
              <w:t>明</w:t>
            </w:r>
          </w:p>
        </w:tc>
      </w:tr>
      <w:tr w14:paraId="5AD5C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323" w:type="dxa"/>
            <w:vMerge w:val="restart"/>
            <w:vAlign w:val="center"/>
          </w:tcPr>
          <w:p w14:paraId="384EC1D0">
            <w:pPr>
              <w:widowControl w:val="0"/>
              <w:spacing w:before="0" w:after="0" w:line="240" w:lineRule="auto"/>
              <w:ind w:left="43" w:right="-20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  <w:t>教学设计（20分）</w:t>
            </w:r>
          </w:p>
        </w:tc>
        <w:tc>
          <w:tcPr>
            <w:tcW w:w="1650" w:type="dxa"/>
            <w:vAlign w:val="center"/>
          </w:tcPr>
          <w:p w14:paraId="2DA8F32C">
            <w:pPr>
              <w:widowControl w:val="0"/>
              <w:spacing w:before="0" w:after="0" w:line="240" w:lineRule="auto"/>
              <w:ind w:left="43" w:right="-20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  <w:t>选题简明（10分）</w:t>
            </w:r>
          </w:p>
        </w:tc>
        <w:tc>
          <w:tcPr>
            <w:tcW w:w="6191" w:type="dxa"/>
            <w:vAlign w:val="center"/>
          </w:tcPr>
          <w:p w14:paraId="374AB139">
            <w:pPr>
              <w:widowControl w:val="0"/>
              <w:spacing w:before="0" w:after="0" w:line="240" w:lineRule="auto"/>
              <w:ind w:left="43" w:right="-20" w:firstLine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trike w:val="0"/>
                <w:color w:val="313131"/>
                <w:spacing w:val="0"/>
                <w:w w:val="100"/>
                <w:position w:val="0"/>
                <w:sz w:val="24"/>
                <w:szCs w:val="24"/>
                <w:u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  <w:t>选题精准，命名清晰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  <w:t>内容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eastAsia="zh-CN"/>
              </w:rPr>
              <w:t>选取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  <w:t>准确、脉络清晰、重点突出。</w:t>
            </w:r>
          </w:p>
        </w:tc>
      </w:tr>
      <w:tr w14:paraId="19025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" w:hRule="atLeast"/>
        </w:trPr>
        <w:tc>
          <w:tcPr>
            <w:tcW w:w="1323" w:type="dxa"/>
            <w:vMerge w:val="continue"/>
            <w:vAlign w:val="center"/>
          </w:tcPr>
          <w:p w14:paraId="6286FB9A">
            <w:pPr>
              <w:widowControl w:val="0"/>
              <w:spacing w:before="0" w:after="0" w:line="240" w:lineRule="auto"/>
              <w:ind w:left="43" w:right="-20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vAlign w:val="center"/>
          </w:tcPr>
          <w:p w14:paraId="4A85D5CE">
            <w:pPr>
              <w:widowControl w:val="0"/>
              <w:spacing w:before="0" w:after="0" w:line="240" w:lineRule="auto"/>
              <w:ind w:left="43" w:right="-20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  <w:t>设计合理（10分）</w:t>
            </w:r>
          </w:p>
        </w:tc>
        <w:tc>
          <w:tcPr>
            <w:tcW w:w="6191" w:type="dxa"/>
            <w:vAlign w:val="center"/>
          </w:tcPr>
          <w:p w14:paraId="517CDA6C">
            <w:pPr>
              <w:widowControl w:val="0"/>
              <w:spacing w:before="0" w:after="0" w:line="240" w:lineRule="auto"/>
              <w:ind w:left="43" w:right="-20" w:firstLine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  <w:t>教学目标清晰，教学对象明确，教学策略得当，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eastAsia="zh-CN"/>
              </w:rPr>
              <w:t>节奏合理，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  <w:t>能有效解决教与学过程中的重点、难点、疑点等问题。</w:t>
            </w:r>
          </w:p>
        </w:tc>
      </w:tr>
      <w:tr w14:paraId="1420D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323" w:type="dxa"/>
            <w:vMerge w:val="restart"/>
            <w:vAlign w:val="center"/>
          </w:tcPr>
          <w:p w14:paraId="323838D3">
            <w:pPr>
              <w:widowControl w:val="0"/>
              <w:spacing w:before="0" w:after="0" w:line="240" w:lineRule="auto"/>
              <w:ind w:left="43" w:right="-20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  <w:t>教学内容</w:t>
            </w:r>
          </w:p>
          <w:p w14:paraId="2F335186">
            <w:pPr>
              <w:widowControl w:val="0"/>
              <w:spacing w:before="0" w:after="0" w:line="240" w:lineRule="auto"/>
              <w:ind w:left="43" w:right="-20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  <w:t>（40分）</w:t>
            </w:r>
          </w:p>
        </w:tc>
        <w:tc>
          <w:tcPr>
            <w:tcW w:w="1650" w:type="dxa"/>
            <w:vAlign w:val="center"/>
          </w:tcPr>
          <w:p w14:paraId="19580B01">
            <w:pPr>
              <w:widowControl w:val="0"/>
              <w:spacing w:before="0" w:after="0" w:line="240" w:lineRule="auto"/>
              <w:ind w:left="43" w:right="-20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  <w:t>内容科学（10分）</w:t>
            </w:r>
          </w:p>
        </w:tc>
        <w:tc>
          <w:tcPr>
            <w:tcW w:w="6191" w:type="dxa"/>
            <w:vAlign w:val="center"/>
          </w:tcPr>
          <w:p w14:paraId="57E6AA6F">
            <w:pPr>
              <w:widowControl w:val="0"/>
              <w:spacing w:before="0" w:after="0" w:line="240" w:lineRule="auto"/>
              <w:ind w:left="43" w:right="-20" w:firstLine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  <w:t>教学内容严谨，不出现任何科学性错误，术语规范。</w:t>
            </w:r>
          </w:p>
        </w:tc>
      </w:tr>
      <w:tr w14:paraId="12188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1323" w:type="dxa"/>
            <w:vMerge w:val="continue"/>
            <w:vAlign w:val="center"/>
          </w:tcPr>
          <w:p w14:paraId="298A6C0E">
            <w:pPr>
              <w:widowControl w:val="0"/>
              <w:spacing w:before="0" w:after="0" w:line="240" w:lineRule="auto"/>
              <w:ind w:left="43" w:right="-20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vAlign w:val="center"/>
          </w:tcPr>
          <w:p w14:paraId="4931575A">
            <w:pPr>
              <w:widowControl w:val="0"/>
              <w:spacing w:before="0" w:after="0" w:line="240" w:lineRule="auto"/>
              <w:ind w:left="43" w:right="-20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  <w:t>逻辑清晰（10分）</w:t>
            </w:r>
          </w:p>
        </w:tc>
        <w:tc>
          <w:tcPr>
            <w:tcW w:w="6191" w:type="dxa"/>
            <w:vAlign w:val="center"/>
          </w:tcPr>
          <w:p w14:paraId="604E32EC">
            <w:pPr>
              <w:widowControl w:val="0"/>
              <w:spacing w:before="0" w:after="0" w:line="240" w:lineRule="auto"/>
              <w:ind w:left="43" w:right="-20" w:firstLine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  <w:t>教学内容的组织与编排，符合学习者的认知规律，主线清晰，重点突出，逻辑性强，明了易懂。</w:t>
            </w:r>
          </w:p>
        </w:tc>
      </w:tr>
      <w:tr w14:paraId="68536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1323" w:type="dxa"/>
            <w:vMerge w:val="continue"/>
            <w:vAlign w:val="center"/>
          </w:tcPr>
          <w:p w14:paraId="20092B6C">
            <w:pPr>
              <w:widowControl w:val="0"/>
              <w:spacing w:before="0" w:after="0" w:line="240" w:lineRule="auto"/>
              <w:ind w:left="43" w:right="-20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vAlign w:val="center"/>
          </w:tcPr>
          <w:p w14:paraId="4E5F8A95">
            <w:pPr>
              <w:widowControl w:val="0"/>
              <w:spacing w:before="0" w:after="0" w:line="240" w:lineRule="auto"/>
              <w:ind w:left="43" w:leftChars="0" w:right="-20" w:righ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  <w:t>趣味性强（10分）</w:t>
            </w:r>
          </w:p>
        </w:tc>
        <w:tc>
          <w:tcPr>
            <w:tcW w:w="6191" w:type="dxa"/>
            <w:vAlign w:val="center"/>
          </w:tcPr>
          <w:p w14:paraId="7D9940C9">
            <w:pPr>
              <w:widowControl w:val="0"/>
              <w:spacing w:before="0" w:after="0" w:line="240" w:lineRule="auto"/>
              <w:ind w:left="43" w:leftChars="0" w:right="-2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  <w:t>教学过程深入浅出、生动有趣，启发性强，有利于提升学习者学习积极性。</w:t>
            </w:r>
          </w:p>
        </w:tc>
      </w:tr>
      <w:tr w14:paraId="5E1D4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1323" w:type="dxa"/>
            <w:vMerge w:val="continue"/>
            <w:vAlign w:val="center"/>
          </w:tcPr>
          <w:p w14:paraId="2175B6F3">
            <w:pPr>
              <w:widowControl w:val="0"/>
              <w:spacing w:before="0" w:after="0" w:line="240" w:lineRule="auto"/>
              <w:ind w:left="43" w:right="-20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vAlign w:val="center"/>
          </w:tcPr>
          <w:p w14:paraId="11CEDE3D">
            <w:pPr>
              <w:widowControl w:val="0"/>
              <w:spacing w:before="0" w:after="0" w:line="240" w:lineRule="auto"/>
              <w:ind w:left="43" w:leftChars="0" w:right="-2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  <w:t>教学效果（10分）</w:t>
            </w:r>
          </w:p>
        </w:tc>
        <w:tc>
          <w:tcPr>
            <w:tcW w:w="6191" w:type="dxa"/>
            <w:vAlign w:val="center"/>
          </w:tcPr>
          <w:p w14:paraId="19DA5842">
            <w:pPr>
              <w:widowControl w:val="0"/>
              <w:spacing w:before="0" w:after="0" w:line="240" w:lineRule="auto"/>
              <w:ind w:left="43" w:leftChars="0" w:right="-2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  <w:t>完成设定的教学目标，有效解决实际教学问题，促进学习者思维的提升、能力的提高。</w:t>
            </w:r>
          </w:p>
        </w:tc>
      </w:tr>
      <w:tr w14:paraId="5BE10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</w:trPr>
        <w:tc>
          <w:tcPr>
            <w:tcW w:w="1323" w:type="dxa"/>
            <w:vMerge w:val="restart"/>
            <w:vAlign w:val="center"/>
          </w:tcPr>
          <w:p w14:paraId="222A8B9A">
            <w:pPr>
              <w:widowControl w:val="0"/>
              <w:spacing w:before="0" w:after="0" w:line="240" w:lineRule="auto"/>
              <w:ind w:left="43" w:right="-20" w:firstLine="0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  <w:t>技术规范</w:t>
            </w:r>
          </w:p>
          <w:p w14:paraId="45B46D0C">
            <w:pPr>
              <w:widowControl w:val="0"/>
              <w:spacing w:before="0" w:after="0" w:line="240" w:lineRule="auto"/>
              <w:ind w:left="43" w:right="-20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  <w:t>（20分）</w:t>
            </w:r>
          </w:p>
        </w:tc>
        <w:tc>
          <w:tcPr>
            <w:tcW w:w="1650" w:type="dxa"/>
            <w:vAlign w:val="center"/>
          </w:tcPr>
          <w:p w14:paraId="6D49FBC7">
            <w:pPr>
              <w:widowControl w:val="0"/>
              <w:spacing w:before="0" w:after="0" w:line="240" w:lineRule="auto"/>
              <w:ind w:left="43" w:right="-20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  <w:t>视频规范（10分）</w:t>
            </w:r>
          </w:p>
        </w:tc>
        <w:tc>
          <w:tcPr>
            <w:tcW w:w="6191" w:type="dxa"/>
            <w:vAlign w:val="center"/>
          </w:tcPr>
          <w:p w14:paraId="55A524AD">
            <w:pPr>
              <w:widowControl w:val="0"/>
              <w:spacing w:before="0" w:after="0" w:line="240" w:lineRule="auto"/>
              <w:ind w:left="43" w:right="-20" w:firstLine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  <w:t>素材选用恰当，画质清晰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eastAsia="zh-CN"/>
              </w:rPr>
              <w:t>、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  <w:t>构图得当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eastAsia="zh-CN"/>
              </w:rPr>
              <w:t>，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  <w:t>色彩搭配协调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  <w:t>声画同步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eastAsia="zh-CN"/>
              </w:rPr>
              <w:t>，播放流畅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。</w:t>
            </w:r>
          </w:p>
        </w:tc>
      </w:tr>
      <w:tr w14:paraId="4E47F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1323" w:type="dxa"/>
            <w:vMerge w:val="continue"/>
            <w:vAlign w:val="center"/>
          </w:tcPr>
          <w:p w14:paraId="1E37A592">
            <w:pPr>
              <w:widowControl w:val="0"/>
              <w:spacing w:before="0" w:after="0" w:line="240" w:lineRule="auto"/>
              <w:ind w:left="43" w:right="-20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650" w:type="dxa"/>
            <w:vAlign w:val="center"/>
          </w:tcPr>
          <w:p w14:paraId="36A81478">
            <w:pPr>
              <w:widowControl w:val="0"/>
              <w:spacing w:before="0" w:after="0" w:line="240" w:lineRule="auto"/>
              <w:ind w:left="43" w:right="-20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  <w:t>语言规范（10分）</w:t>
            </w:r>
          </w:p>
        </w:tc>
        <w:tc>
          <w:tcPr>
            <w:tcW w:w="6191" w:type="dxa"/>
            <w:vAlign w:val="center"/>
          </w:tcPr>
          <w:p w14:paraId="4FC7AACF">
            <w:pPr>
              <w:widowControl w:val="0"/>
              <w:spacing w:before="0" w:after="0" w:line="240" w:lineRule="auto"/>
              <w:ind w:left="43" w:right="-20" w:firstLine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字幕使用规范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  <w:t>声音洪亮、有节奏感，语言富有感染力。</w:t>
            </w:r>
          </w:p>
        </w:tc>
      </w:tr>
      <w:tr w14:paraId="20C94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23" w:type="dxa"/>
            <w:vMerge w:val="restart"/>
            <w:vAlign w:val="center"/>
          </w:tcPr>
          <w:p w14:paraId="5F381A6C">
            <w:pPr>
              <w:widowControl w:val="0"/>
              <w:spacing w:before="0" w:after="0" w:line="240" w:lineRule="auto"/>
              <w:ind w:left="43" w:right="-20" w:firstLine="0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  <w:t>创新实用</w:t>
            </w:r>
          </w:p>
          <w:p w14:paraId="4016EC2C">
            <w:pPr>
              <w:widowControl w:val="0"/>
              <w:spacing w:before="0" w:after="0" w:line="240" w:lineRule="auto"/>
              <w:ind w:left="43" w:right="-20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  <w:t>（20分）</w:t>
            </w:r>
          </w:p>
        </w:tc>
        <w:tc>
          <w:tcPr>
            <w:tcW w:w="1650" w:type="dxa"/>
            <w:vAlign w:val="center"/>
          </w:tcPr>
          <w:p w14:paraId="0664E389">
            <w:pPr>
              <w:widowControl w:val="0"/>
              <w:spacing w:before="0" w:after="0" w:line="240" w:lineRule="auto"/>
              <w:ind w:left="43" w:right="-20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  <w:t>形式新颖（10分）</w:t>
            </w:r>
          </w:p>
        </w:tc>
        <w:tc>
          <w:tcPr>
            <w:tcW w:w="6191" w:type="dxa"/>
            <w:vAlign w:val="center"/>
          </w:tcPr>
          <w:p w14:paraId="11F49959">
            <w:pPr>
              <w:widowControl w:val="0"/>
              <w:spacing w:before="0" w:after="0" w:line="240" w:lineRule="auto"/>
              <w:ind w:left="43" w:right="-20" w:firstLine="0"/>
              <w:jc w:val="left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  <w:t>教学方法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eastAsia="zh-CN"/>
              </w:rPr>
              <w:t>创新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  <w:t>，不拘泥于传统的课堂教学模式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eastAsia="zh-CN"/>
              </w:rPr>
              <w:t>，内容呈现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  <w:t>富有创意，具有艺术性和观赏性，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  <w:t>能有效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  <w:t>激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  <w:t>发学习者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  <w:t>学习兴趣。</w:t>
            </w:r>
          </w:p>
        </w:tc>
      </w:tr>
      <w:tr w14:paraId="72512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1323" w:type="dxa"/>
            <w:vMerge w:val="continue"/>
            <w:vAlign w:val="center"/>
          </w:tcPr>
          <w:p w14:paraId="5589B84F">
            <w:pPr>
              <w:widowControl w:val="0"/>
              <w:spacing w:before="0" w:after="0" w:line="240" w:lineRule="auto"/>
              <w:ind w:right="-2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650" w:type="dxa"/>
            <w:vAlign w:val="center"/>
          </w:tcPr>
          <w:p w14:paraId="5DD11AD0">
            <w:pPr>
              <w:widowControl w:val="0"/>
              <w:spacing w:before="0" w:after="0" w:line="240" w:lineRule="auto"/>
              <w:ind w:left="43" w:right="-20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  <w:t>推广应用（10分）</w:t>
            </w:r>
          </w:p>
        </w:tc>
        <w:tc>
          <w:tcPr>
            <w:tcW w:w="6191" w:type="dxa"/>
            <w:vAlign w:val="center"/>
          </w:tcPr>
          <w:p w14:paraId="2E256672">
            <w:pPr>
              <w:widowControl w:val="0"/>
              <w:spacing w:before="0" w:after="0" w:line="240" w:lineRule="auto"/>
              <w:ind w:left="43" w:right="-20" w:firstLine="0"/>
              <w:jc w:val="left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  <w:t>能够运用于实际教学中，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  <w:t>教学效果良好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val="en-US" w:eastAsia="zh-CN"/>
              </w:rPr>
              <w:t>具有推广价值。</w:t>
            </w:r>
          </w:p>
        </w:tc>
      </w:tr>
    </w:tbl>
    <w:p w14:paraId="6624DB8B">
      <w:pPr>
        <w:widowControl w:val="0"/>
        <w:spacing w:before="0" w:after="0" w:line="240" w:lineRule="auto"/>
        <w:ind w:left="0" w:right="-20" w:firstLine="0"/>
        <w:rPr>
          <w:rFonts w:hint="eastAsia" w:ascii="宋体" w:hAnsi="宋体" w:eastAsia="宋体" w:cs="宋体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  <w:lang w:val="en-US" w:eastAsia="zh-CN"/>
        </w:rPr>
      </w:pPr>
    </w:p>
    <w:p w14:paraId="29B98CAA">
      <w:pPr>
        <w:widowControl w:val="0"/>
        <w:spacing w:before="0" w:after="0" w:line="240" w:lineRule="auto"/>
        <w:ind w:left="0" w:right="-20" w:firstLine="0"/>
        <w:rPr>
          <w:rFonts w:ascii="Consolas" w:hAnsi="Consolas" w:eastAsia="Consolas" w:cs="Consolas"/>
          <w:b w:val="0"/>
          <w:bCs w:val="0"/>
          <w:i w:val="0"/>
          <w:iCs w:val="0"/>
          <w:strike w:val="0"/>
          <w:outline w:val="0"/>
          <w:color w:val="313131"/>
          <w:spacing w:val="0"/>
          <w:w w:val="100"/>
          <w:position w:val="0"/>
          <w:sz w:val="18"/>
          <w:szCs w:val="18"/>
          <w:u w:val="none"/>
        </w:rPr>
      </w:pPr>
    </w:p>
    <w:sectPr>
      <w:footnotePr>
        <w:numFmt w:val="decimal"/>
      </w:footnotePr>
      <w:type w:val="continuous"/>
      <w:pgSz w:w="11905" w:h="16837"/>
      <w:pgMar w:top="1417" w:right="1417" w:bottom="1417" w:left="1417" w:header="0" w:footer="0" w:gutter="0"/>
      <w:pgNumType w:fmt="decimal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BE5D2678-F271-4B6D-B964-12D8C8217954}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  <w:embedRegular r:id="rId2" w:fontKey="{FF518430-31AD-4451-9C73-E282DC5F3C8F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7C5C7EFB-1454-4EC4-BF90-96DE67163D73}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  <w:embedRegular r:id="rId4" w:fontKey="{F26C3A33-E043-419C-9011-54B9D62C7C9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NTVkZDBmNGUwMWEyYTlmZDI3M2JmMTBiZWI1ZTllN2EifQ=="/>
  </w:docVars>
  <w:rsids>
    <w:rsidRoot w:val="00000000"/>
    <w:rsid w:val="017C2E92"/>
    <w:rsid w:val="01D02E4E"/>
    <w:rsid w:val="04CD5BCA"/>
    <w:rsid w:val="056E3EDE"/>
    <w:rsid w:val="07411544"/>
    <w:rsid w:val="0B931B18"/>
    <w:rsid w:val="0DB93677"/>
    <w:rsid w:val="0F517A28"/>
    <w:rsid w:val="175B20F3"/>
    <w:rsid w:val="1BC61228"/>
    <w:rsid w:val="1E0C0259"/>
    <w:rsid w:val="1FE9356F"/>
    <w:rsid w:val="2136067C"/>
    <w:rsid w:val="22E07E73"/>
    <w:rsid w:val="26D071C9"/>
    <w:rsid w:val="2A6D72A7"/>
    <w:rsid w:val="2E122E80"/>
    <w:rsid w:val="32234A96"/>
    <w:rsid w:val="38C11761"/>
    <w:rsid w:val="454C4D96"/>
    <w:rsid w:val="47BE4B4B"/>
    <w:rsid w:val="4D5B5654"/>
    <w:rsid w:val="51566D11"/>
    <w:rsid w:val="6475031A"/>
    <w:rsid w:val="651C7E3C"/>
    <w:rsid w:val="6EBC091E"/>
    <w:rsid w:val="6F5B9EE4"/>
    <w:rsid w:val="6FCA7F2B"/>
    <w:rsid w:val="729F0C57"/>
    <w:rsid w:val="751E79BA"/>
    <w:rsid w:val="790031D8"/>
    <w:rsid w:val="7CFBA125"/>
    <w:rsid w:val="7D3E6B22"/>
    <w:rsid w:val="F7D70617"/>
    <w:rsid w:val="FAEBFFFB"/>
    <w:rsid w:val="FBBF41FF"/>
    <w:rsid w:val="FFED18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Calibri" w:cs="Calibri"/>
      <w:sz w:val="22"/>
      <w:szCs w:val="2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496</Words>
  <Characters>510</Characters>
  <TotalTime>0</TotalTime>
  <ScaleCrop>false</ScaleCrop>
  <LinksUpToDate>false</LinksUpToDate>
  <CharactersWithSpaces>510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2024-04-08T23:52:00Z</dcterms:created>
  <dc:creator>蒋政</dc:creator>
  <cp:lastModifiedBy>admin</cp:lastModifiedBy>
  <dcterms:modified xsi:type="dcterms:W3CDTF">2025-03-14T08:13:02Z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FECFABFA119E4A1088BFBD64559ADEFC</vt:lpwstr>
  </property>
  <property fmtid="{D5CDD505-2E9C-101B-9397-08002B2CF9AE}" pid="4" name="KSOTemplateDocerSaveRecord">
    <vt:lpwstr>eyJoZGlkIjoiNWY2MGUwNmI2OGRiMGU4YzU1ZmU5NmFiNTI0MTEzNGIiLCJ1c2VySWQiOiIxODAyMzAwOCJ9</vt:lpwstr>
  </property>
</Properties>
</file>